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val="en-US" w:eastAsia="zh-CN"/>
              </w:rPr>
              <w:t>91</w:t>
            </w:r>
            <w:r>
              <w:rPr>
                <w:rFonts w:hint="eastAsia" w:ascii="黑体" w:hAnsi="黑体" w:eastAsia="黑体"/>
                <w:sz w:val="21"/>
                <w:szCs w:val="21"/>
              </w:rPr>
              <w:t>.1</w:t>
            </w:r>
            <w:r>
              <w:rPr>
                <w:rFonts w:hint="eastAsia" w:ascii="黑体" w:hAnsi="黑体" w:eastAsia="黑体"/>
                <w:sz w:val="21"/>
                <w:szCs w:val="21"/>
                <w:lang w:val="en-US" w:eastAsia="zh-CN"/>
              </w:rPr>
              <w:t>0</w:t>
            </w:r>
            <w:r>
              <w:rPr>
                <w:rFonts w:hint="eastAsia" w:ascii="黑体" w:hAnsi="黑体" w:eastAsia="黑体"/>
                <w:sz w:val="21"/>
                <w:szCs w:val="21"/>
              </w:rPr>
              <w:t>0.</w:t>
            </w:r>
            <w:r>
              <w:rPr>
                <w:rFonts w:hint="eastAsia" w:ascii="黑体" w:hAnsi="黑体" w:eastAsia="黑体"/>
                <w:sz w:val="21"/>
                <w:szCs w:val="21"/>
                <w:lang w:val="en-US" w:eastAsia="zh-CN"/>
              </w:rPr>
              <w:t>30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CCS</w:t>
            </w:r>
          </w:p>
        </w:tc>
        <w:tc>
          <w:tcPr>
            <w:tcW w:w="8855"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eastAsia="zh-CN"/>
              </w:rPr>
              <w:t>Q</w:t>
            </w:r>
            <w:r>
              <w:rPr>
                <w:rFonts w:hint="eastAsia" w:ascii="黑体" w:hAnsi="黑体" w:eastAsia="黑体"/>
                <w:sz w:val="21"/>
                <w:szCs w:val="21"/>
                <w:lang w:val="en-US" w:eastAsia="zh-CN"/>
              </w:rPr>
              <w:t>13</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1"/>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32</w:t>
            </w:r>
            <w:r>
              <w:fldChar w:fldCharType="end"/>
            </w:r>
            <w:bookmarkEnd w:id="3"/>
          </w:p>
        </w:tc>
      </w:tr>
    </w:tbl>
    <w:p>
      <w:pPr>
        <w:pStyle w:val="52"/>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7"/>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32</w:t>
      </w:r>
      <w:r>
        <w:rPr>
          <w:lang w:val="fr-FR"/>
        </w:rPr>
        <w:t>/T</w:t>
      </w:r>
      <w:r>
        <w:fldChar w:fldCharType="end"/>
      </w:r>
      <w:bookmarkEnd w:id="5"/>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w:t>
      </w:r>
      <w:r>
        <w:rPr>
          <w:rFonts w:hint="eastAsia"/>
          <w:lang w:val="en-US" w:eastAsia="zh-CN"/>
        </w:rPr>
        <w:t>4</w:t>
      </w:r>
      <w:r>
        <w:fldChar w:fldCharType="end"/>
      </w:r>
      <w:bookmarkEnd w:id="7"/>
    </w:p>
    <w:p>
      <w:pPr>
        <w:pStyle w:val="198"/>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int="eastAsia" w:hAnsi="黑体"/>
        </w:rPr>
        <w:t>代替DGJ32/TJ 119-2011</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pPr>
        <w:pStyle w:val="52"/>
        <w:framePr w:w="9639" w:h="6976" w:hRule="exact" w:hSpace="0" w:vSpace="0" w:wrap="around" w:hAnchor="page" w:y="6408"/>
        <w:jc w:val="center"/>
        <w:rPr>
          <w:rFonts w:ascii="黑体" w:hAnsi="黑体" w:eastAsia="黑体"/>
          <w:b w:val="0"/>
          <w:bCs w:val="0"/>
          <w:w w:val="100"/>
        </w:rPr>
      </w:pPr>
    </w:p>
    <w:p>
      <w:pPr>
        <w:pStyle w:val="199"/>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预拌混凝土绿色生产管理</w:t>
      </w:r>
      <w:r>
        <w:rPr>
          <w:rFonts w:hint="eastAsia"/>
          <w:lang w:eastAsia="zh-CN"/>
        </w:rPr>
        <w:t>技术</w:t>
      </w:r>
      <w:r>
        <w:rPr>
          <w:rFonts w:hint="eastAsia"/>
        </w:rPr>
        <w:t>规程</w:t>
      </w:r>
      <w:r>
        <w:fldChar w:fldCharType="end"/>
      </w:r>
      <w:bookmarkEnd w:id="9"/>
    </w:p>
    <w:p>
      <w:pPr>
        <w:framePr w:w="9639" w:h="6974" w:hRule="exact" w:wrap="around" w:vAnchor="page" w:hAnchor="page" w:x="1419" w:y="6408" w:anchorLock="1"/>
        <w:ind w:left="-1418"/>
      </w:pPr>
    </w:p>
    <w:p>
      <w:pPr>
        <w:pStyle w:val="127"/>
        <w:framePr w:w="9639" w:h="6974" w:hRule="exact" w:wrap="around" w:vAnchor="page" w:hAnchor="page" w:x="1419" w:y="6408" w:anchorLock="1"/>
        <w:pBdr>
          <w:top w:val="none" w:color="auto" w:sz="0" w:space="0"/>
          <w:left w:val="none" w:color="auto" w:sz="0" w:space="0"/>
          <w:bottom w:val="none" w:color="auto" w:sz="0" w:space="0"/>
          <w:right w:val="none" w:color="auto" w:sz="0" w:space="0"/>
        </w:pBdr>
        <w:textAlignment w:val="bottom"/>
        <w:rPr>
          <w:rFonts w:hint="eastAsia"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Technical</w:t>
      </w:r>
      <w:r>
        <w:rPr>
          <w:rFonts w:hint="eastAsia" w:eastAsia="黑体"/>
          <w:szCs w:val="28"/>
          <w:lang w:val="en-US" w:eastAsia="zh-CN"/>
        </w:rPr>
        <w:t xml:space="preserve"> </w:t>
      </w:r>
      <w:r>
        <w:rPr>
          <w:rFonts w:hint="eastAsia" w:eastAsia="黑体"/>
          <w:szCs w:val="28"/>
        </w:rPr>
        <w:t>specification f</w:t>
      </w:r>
      <w:r>
        <w:rPr>
          <w:rFonts w:hint="eastAsia" w:eastAsia="黑体"/>
          <w:szCs w:val="28"/>
          <w:lang w:val="en-US" w:eastAsia="zh-CN"/>
        </w:rPr>
        <w:t>or</w:t>
      </w:r>
      <w:r>
        <w:rPr>
          <w:rFonts w:hint="eastAsia" w:eastAsia="黑体"/>
          <w:szCs w:val="28"/>
        </w:rPr>
        <w:t xml:space="preserve"> green production </w:t>
      </w:r>
      <w:r>
        <w:rPr>
          <w:rFonts w:hint="eastAsia" w:eastAsia="黑体"/>
          <w:szCs w:val="28"/>
          <w:lang w:val="en-US" w:eastAsia="zh-CN"/>
        </w:rPr>
        <w:t>m</w:t>
      </w:r>
      <w:r>
        <w:rPr>
          <w:rFonts w:hint="eastAsia" w:eastAsia="黑体"/>
          <w:szCs w:val="28"/>
        </w:rPr>
        <w:t>anagement</w:t>
      </w:r>
      <w:r>
        <w:rPr>
          <w:rFonts w:hint="eastAsia" w:eastAsia="黑体"/>
          <w:szCs w:val="28"/>
          <w:lang w:val="en-US" w:eastAsia="zh-CN"/>
        </w:rPr>
        <w:t xml:space="preserve"> </w:t>
      </w:r>
      <w:r>
        <w:rPr>
          <w:rFonts w:hint="eastAsia" w:eastAsia="黑体"/>
          <w:szCs w:val="28"/>
        </w:rPr>
        <w:t xml:space="preserve">of </w:t>
      </w:r>
    </w:p>
    <w:p>
      <w:pPr>
        <w:pStyle w:val="127"/>
        <w:framePr w:w="9639" w:h="6974" w:hRule="exact" w:wrap="around" w:vAnchor="page" w:hAnchor="page" w:x="1419" w:y="6408" w:anchorLock="1"/>
        <w:textAlignment w:val="bottom"/>
        <w:rPr>
          <w:rFonts w:eastAsia="黑体"/>
          <w:szCs w:val="28"/>
        </w:rPr>
      </w:pPr>
      <w:r>
        <w:rPr>
          <w:rFonts w:hint="eastAsia" w:eastAsia="黑体"/>
          <w:szCs w:val="28"/>
        </w:rPr>
        <w:t>ready-mixed concrete</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7"/>
        <w:framePr w:w="9639" w:h="6974" w:hRule="exact" w:wrap="around" w:vAnchor="page" w:hAnchor="page" w:x="1419" w:y="6408" w:anchorLock="1"/>
        <w:textAlignment w:val="bottom"/>
        <w:rPr>
          <w:rFonts w:eastAsia="黑体"/>
          <w:szCs w:val="28"/>
        </w:rPr>
      </w:pPr>
    </w:p>
    <w:p>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7"/>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5"/>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rPr>
        <w:t>202</w:t>
      </w:r>
      <w:r>
        <w:rPr>
          <w:rFonts w:hint="eastAsia" w:ascii="黑体"/>
          <w:lang w:val="en-US" w:eastAsia="zh-CN"/>
        </w:rPr>
        <w:t>4</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6"/>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rPr>
        <w:t>202</w:t>
      </w:r>
      <w:r>
        <w:rPr>
          <w:rFonts w:hint="eastAsia" w:ascii="黑体"/>
          <w:lang w:val="en-US" w:eastAsia="zh-CN"/>
        </w:rPr>
        <w:t>4</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3"/>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int="eastAsia" w:hAnsi="黑体"/>
          <w:w w:val="100"/>
          <w:sz w:val="28"/>
          <w:lang w:val="en-US" w:eastAsia="zh-CN"/>
        </w:rPr>
        <w:t xml:space="preserve"> 江苏省住房和城乡建设厅</w:t>
      </w:r>
      <w:r>
        <w:rPr>
          <w:rFonts w:hAnsi="黑体"/>
          <w:w w:val="100"/>
          <w:sz w:val="28"/>
        </w:rPr>
        <w:fldChar w:fldCharType="end"/>
      </w:r>
      <w:bookmarkEnd w:id="20"/>
      <w:r>
        <w:rPr>
          <w:rFonts w:ascii="Times New Roman"/>
          <w:w w:val="100"/>
          <w:sz w:val="28"/>
        </w:rPr>
        <w:t>  </w:t>
      </w:r>
      <w:r>
        <w:rPr>
          <w:rStyle w:val="231"/>
          <w:rFonts w:hint="eastAsia" w:hAnsi="黑体"/>
          <w:position w:val="0"/>
        </w:rPr>
        <w:t>发</w:t>
      </w:r>
      <w:r>
        <w:rPr>
          <w:rStyle w:val="231"/>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p>
      <w:pPr>
        <w:pStyle w:val="93"/>
        <w:spacing w:after="468"/>
      </w:pPr>
      <w:bookmarkStart w:id="21" w:name="BookMark1"/>
      <w:r>
        <w:rPr>
          <w:rFonts w:hint="eastAsia"/>
          <w:spacing w:val="320"/>
        </w:rPr>
        <w:t>目</w:t>
      </w:r>
      <w:r>
        <w:rPr>
          <w:rFonts w:hint="eastAsia"/>
        </w:rPr>
        <w:t>次</w:t>
      </w:r>
    </w:p>
    <w:p>
      <w:pPr>
        <w:pStyle w:val="20"/>
        <w:tabs>
          <w:tab w:val="right" w:leader="dot" w:pos="9354"/>
        </w:tabs>
      </w:pPr>
      <w:r>
        <w:fldChar w:fldCharType="begin"/>
      </w:r>
      <w:r>
        <w:instrText xml:space="preserve"> </w:instrText>
      </w:r>
      <w:r>
        <w:rPr>
          <w:rFonts w:hint="eastAsia"/>
        </w:rPr>
        <w:instrText xml:space="preserve">TOC \o "1-1" \h \t "标准文件_一级条标题,2,标准文件_二级条标题,3,标准文件_附录一级条标题,2,标准文件_附录二级条标题,3,"</w:instrText>
      </w:r>
      <w:r>
        <w:instrText xml:space="preserve"> </w:instrText>
      </w:r>
      <w:r>
        <w:fldChar w:fldCharType="separate"/>
      </w:r>
      <w:r>
        <w:rPr>
          <w:spacing w:val="0"/>
          <w:sz w:val="21"/>
        </w:rPr>
        <w:fldChar w:fldCharType="begin"/>
      </w:r>
      <w:r>
        <w:rPr>
          <w:spacing w:val="0"/>
          <w:sz w:val="21"/>
        </w:rPr>
        <w:instrText xml:space="preserve"> HYPERLINK \l _Toc5618 </w:instrText>
      </w:r>
      <w:r>
        <w:rPr>
          <w:spacing w:val="0"/>
          <w:sz w:val="21"/>
        </w:rPr>
        <w:fldChar w:fldCharType="separate"/>
      </w:r>
      <w:r>
        <w:rPr>
          <w:spacing w:val="0"/>
          <w:sz w:val="21"/>
        </w:rPr>
        <w:t>前言</w:t>
      </w:r>
      <w:r>
        <w:rPr>
          <w:spacing w:val="0"/>
          <w:sz w:val="21"/>
        </w:rPr>
        <w:tab/>
      </w:r>
      <w:r>
        <w:rPr>
          <w:spacing w:val="0"/>
          <w:sz w:val="21"/>
        </w:rPr>
        <w:fldChar w:fldCharType="begin"/>
      </w:r>
      <w:r>
        <w:rPr>
          <w:spacing w:val="0"/>
          <w:sz w:val="21"/>
        </w:rPr>
        <w:instrText xml:space="preserve"> PAGEREF _Toc5618 \h </w:instrText>
      </w:r>
      <w:r>
        <w:rPr>
          <w:spacing w:val="0"/>
          <w:sz w:val="21"/>
        </w:rPr>
        <w:fldChar w:fldCharType="separate"/>
      </w:r>
      <w:r>
        <w:rPr>
          <w:spacing w:val="0"/>
          <w:sz w:val="21"/>
        </w:rPr>
        <w:t>II</w:t>
      </w:r>
      <w:r>
        <w:rPr>
          <w:spacing w:val="0"/>
          <w:sz w:val="21"/>
        </w:rPr>
        <w:fldChar w:fldCharType="end"/>
      </w:r>
      <w:r>
        <w:rPr>
          <w:spacing w:val="0"/>
          <w:sz w:val="21"/>
        </w:rPr>
        <w:fldChar w:fldCharType="end"/>
      </w:r>
    </w:p>
    <w:p>
      <w:pPr>
        <w:pStyle w:val="20"/>
        <w:tabs>
          <w:tab w:val="right" w:leader="dot" w:pos="9354"/>
        </w:tabs>
      </w:pPr>
      <w:r>
        <w:fldChar w:fldCharType="begin"/>
      </w:r>
      <w:r>
        <w:instrText xml:space="preserve"> HYPERLINK \l _Toc14539 </w:instrText>
      </w:r>
      <w:r>
        <w:fldChar w:fldCharType="separate"/>
      </w:r>
      <w:r>
        <w:rPr>
          <w:rFonts w:hint="eastAsia" w:ascii="黑体" w:eastAsia="黑体"/>
          <w:i w:val="0"/>
        </w:rPr>
        <w:t xml:space="preserve">1 </w:t>
      </w:r>
      <w:r>
        <w:rPr>
          <w:rFonts w:hint="eastAsia"/>
        </w:rPr>
        <w:t>范围</w:t>
      </w:r>
      <w:r>
        <w:tab/>
      </w:r>
      <w:r>
        <w:fldChar w:fldCharType="begin"/>
      </w:r>
      <w:r>
        <w:instrText xml:space="preserve"> PAGEREF _Toc14539 \h </w:instrText>
      </w:r>
      <w:r>
        <w:fldChar w:fldCharType="separate"/>
      </w:r>
      <w:r>
        <w:t>3</w:t>
      </w:r>
      <w:r>
        <w:fldChar w:fldCharType="end"/>
      </w:r>
      <w:r>
        <w:fldChar w:fldCharType="end"/>
      </w:r>
    </w:p>
    <w:p>
      <w:pPr>
        <w:pStyle w:val="20"/>
        <w:tabs>
          <w:tab w:val="right" w:leader="dot" w:pos="9354"/>
        </w:tabs>
      </w:pPr>
      <w:r>
        <w:fldChar w:fldCharType="begin"/>
      </w:r>
      <w:r>
        <w:instrText xml:space="preserve"> HYPERLINK \l _Toc9829 </w:instrText>
      </w:r>
      <w: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_Toc9829 \h </w:instrText>
      </w:r>
      <w:r>
        <w:fldChar w:fldCharType="separate"/>
      </w:r>
      <w:r>
        <w:t>3</w:t>
      </w:r>
      <w:r>
        <w:fldChar w:fldCharType="end"/>
      </w:r>
      <w:r>
        <w:fldChar w:fldCharType="end"/>
      </w:r>
    </w:p>
    <w:p>
      <w:pPr>
        <w:pStyle w:val="20"/>
        <w:tabs>
          <w:tab w:val="right" w:leader="dot" w:pos="9354"/>
        </w:tabs>
      </w:pPr>
      <w:r>
        <w:fldChar w:fldCharType="begin"/>
      </w:r>
      <w:r>
        <w:instrText xml:space="preserve"> HYPERLINK \l _Toc16087 </w:instrText>
      </w:r>
      <w:r>
        <w:fldChar w:fldCharType="separate"/>
      </w:r>
      <w:r>
        <w:rPr>
          <w:rFonts w:hint="eastAsia" w:ascii="黑体" w:eastAsia="黑体"/>
          <w:i w:val="0"/>
        </w:rPr>
        <w:t xml:space="preserve">3 </w:t>
      </w:r>
      <w:r>
        <w:rPr>
          <w:rFonts w:hint="eastAsia"/>
          <w:szCs w:val="21"/>
        </w:rPr>
        <w:t>术语和定义</w:t>
      </w:r>
      <w:r>
        <w:tab/>
      </w:r>
      <w:r>
        <w:fldChar w:fldCharType="begin"/>
      </w:r>
      <w:r>
        <w:instrText xml:space="preserve"> PAGEREF _Toc16087 \h </w:instrText>
      </w:r>
      <w:r>
        <w:fldChar w:fldCharType="separate"/>
      </w:r>
      <w:r>
        <w:t>4</w:t>
      </w:r>
      <w:r>
        <w:fldChar w:fldCharType="end"/>
      </w:r>
      <w:r>
        <w:fldChar w:fldCharType="end"/>
      </w:r>
    </w:p>
    <w:p>
      <w:pPr>
        <w:pStyle w:val="20"/>
        <w:tabs>
          <w:tab w:val="right" w:leader="dot" w:pos="9354"/>
        </w:tabs>
      </w:pPr>
      <w:r>
        <w:fldChar w:fldCharType="begin"/>
      </w:r>
      <w:r>
        <w:instrText xml:space="preserve"> HYPERLINK \l _Toc26286 </w:instrText>
      </w:r>
      <w:r>
        <w:fldChar w:fldCharType="separate"/>
      </w:r>
      <w:r>
        <w:rPr>
          <w:rFonts w:hint="eastAsia" w:ascii="黑体" w:eastAsia="黑体"/>
          <w:i w:val="0"/>
        </w:rPr>
        <w:t xml:space="preserve">4 </w:t>
      </w:r>
      <w:r>
        <w:rPr>
          <w:rFonts w:hint="eastAsia"/>
        </w:rPr>
        <w:t>基本规定</w:t>
      </w:r>
      <w:r>
        <w:tab/>
      </w:r>
      <w:r>
        <w:fldChar w:fldCharType="begin"/>
      </w:r>
      <w:r>
        <w:instrText xml:space="preserve"> PAGEREF _Toc26286 \h </w:instrText>
      </w:r>
      <w:r>
        <w:fldChar w:fldCharType="separate"/>
      </w:r>
      <w:r>
        <w:t>4</w:t>
      </w:r>
      <w:r>
        <w:fldChar w:fldCharType="end"/>
      </w:r>
      <w:r>
        <w:fldChar w:fldCharType="end"/>
      </w:r>
    </w:p>
    <w:p>
      <w:pPr>
        <w:pStyle w:val="20"/>
        <w:tabs>
          <w:tab w:val="right" w:leader="dot" w:pos="9354"/>
        </w:tabs>
      </w:pPr>
      <w:r>
        <w:fldChar w:fldCharType="begin"/>
      </w:r>
      <w:r>
        <w:instrText xml:space="preserve"> HYPERLINK \l _Toc7374 </w:instrText>
      </w:r>
      <w:r>
        <w:fldChar w:fldCharType="separate"/>
      </w:r>
      <w:r>
        <w:rPr>
          <w:rFonts w:hint="eastAsia" w:ascii="黑体" w:eastAsia="黑体"/>
          <w:i w:val="0"/>
        </w:rPr>
        <w:t xml:space="preserve">5 </w:t>
      </w:r>
      <w:r>
        <w:rPr>
          <w:rFonts w:hint="eastAsia"/>
        </w:rPr>
        <w:t>厂区建设与管理</w:t>
      </w:r>
      <w:r>
        <w:tab/>
      </w:r>
      <w:r>
        <w:fldChar w:fldCharType="begin"/>
      </w:r>
      <w:r>
        <w:instrText xml:space="preserve"> PAGEREF _Toc7374 \h </w:instrText>
      </w:r>
      <w:r>
        <w:fldChar w:fldCharType="separate"/>
      </w:r>
      <w:r>
        <w:t>5</w:t>
      </w:r>
      <w:r>
        <w:fldChar w:fldCharType="end"/>
      </w:r>
      <w:r>
        <w:fldChar w:fldCharType="end"/>
      </w:r>
    </w:p>
    <w:p>
      <w:pPr>
        <w:pStyle w:val="20"/>
        <w:tabs>
          <w:tab w:val="right" w:leader="dot" w:pos="9354"/>
        </w:tabs>
      </w:pPr>
      <w:r>
        <w:fldChar w:fldCharType="begin"/>
      </w:r>
      <w:r>
        <w:instrText xml:space="preserve"> HYPERLINK \l _Toc11763 </w:instrText>
      </w:r>
      <w:r>
        <w:fldChar w:fldCharType="separate"/>
      </w:r>
      <w:r>
        <w:rPr>
          <w:rFonts w:hint="eastAsia" w:ascii="黑体" w:eastAsia="黑体"/>
          <w:i w:val="0"/>
        </w:rPr>
        <w:t xml:space="preserve">6 </w:t>
      </w:r>
      <w:r>
        <w:rPr>
          <w:rFonts w:hint="eastAsia"/>
        </w:rPr>
        <w:t>设备设施</w:t>
      </w:r>
      <w:r>
        <w:tab/>
      </w:r>
      <w:r>
        <w:fldChar w:fldCharType="begin"/>
      </w:r>
      <w:r>
        <w:instrText xml:space="preserve"> PAGEREF _Toc11763 \h </w:instrText>
      </w:r>
      <w:r>
        <w:fldChar w:fldCharType="separate"/>
      </w:r>
      <w:r>
        <w:t>5</w:t>
      </w:r>
      <w:r>
        <w:fldChar w:fldCharType="end"/>
      </w:r>
      <w:r>
        <w:fldChar w:fldCharType="end"/>
      </w:r>
    </w:p>
    <w:p>
      <w:pPr>
        <w:pStyle w:val="25"/>
        <w:tabs>
          <w:tab w:val="right" w:leader="dot" w:pos="9354"/>
          <w:tab w:val="clear" w:pos="9344"/>
        </w:tabs>
      </w:pPr>
      <w:r>
        <w:fldChar w:fldCharType="begin"/>
      </w:r>
      <w:r>
        <w:instrText xml:space="preserve"> HYPERLINK \l _Toc27307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6.1 </w:t>
      </w:r>
      <w:r>
        <w:rPr>
          <w:rFonts w:hint="eastAsia"/>
        </w:rPr>
        <w:t>一般规定</w:t>
      </w:r>
      <w:r>
        <w:tab/>
      </w:r>
      <w:r>
        <w:fldChar w:fldCharType="begin"/>
      </w:r>
      <w:r>
        <w:instrText xml:space="preserve"> PAGEREF _Toc27307 \h </w:instrText>
      </w:r>
      <w:r>
        <w:fldChar w:fldCharType="separate"/>
      </w:r>
      <w:r>
        <w:t>5</w:t>
      </w:r>
      <w:r>
        <w:fldChar w:fldCharType="end"/>
      </w:r>
      <w:r>
        <w:fldChar w:fldCharType="end"/>
      </w:r>
    </w:p>
    <w:p>
      <w:pPr>
        <w:pStyle w:val="25"/>
        <w:tabs>
          <w:tab w:val="right" w:leader="dot" w:pos="9354"/>
          <w:tab w:val="clear" w:pos="9344"/>
        </w:tabs>
      </w:pPr>
      <w:r>
        <w:fldChar w:fldCharType="begin"/>
      </w:r>
      <w:r>
        <w:instrText xml:space="preserve"> HYPERLINK \l _Toc1021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6.2 </w:t>
      </w:r>
      <w:r>
        <w:rPr>
          <w:rFonts w:hint="eastAsia"/>
        </w:rPr>
        <w:t>搅拌站（楼）</w:t>
      </w:r>
      <w:r>
        <w:tab/>
      </w:r>
      <w:r>
        <w:fldChar w:fldCharType="begin"/>
      </w:r>
      <w:r>
        <w:instrText xml:space="preserve"> PAGEREF _Toc1021 \h </w:instrText>
      </w:r>
      <w:r>
        <w:fldChar w:fldCharType="separate"/>
      </w:r>
      <w:r>
        <w:t>5</w:t>
      </w:r>
      <w:r>
        <w:fldChar w:fldCharType="end"/>
      </w:r>
      <w:r>
        <w:fldChar w:fldCharType="end"/>
      </w:r>
    </w:p>
    <w:p>
      <w:pPr>
        <w:pStyle w:val="25"/>
        <w:tabs>
          <w:tab w:val="right" w:leader="dot" w:pos="9354"/>
          <w:tab w:val="clear" w:pos="9344"/>
        </w:tabs>
      </w:pPr>
      <w:r>
        <w:fldChar w:fldCharType="begin"/>
      </w:r>
      <w:r>
        <w:instrText xml:space="preserve"> HYPERLINK \l _Toc10696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6.3 </w:t>
      </w:r>
      <w:r>
        <w:rPr>
          <w:rFonts w:hint="eastAsia"/>
        </w:rPr>
        <w:t>原材料存储与输送</w:t>
      </w:r>
      <w:r>
        <w:tab/>
      </w:r>
      <w:r>
        <w:fldChar w:fldCharType="begin"/>
      </w:r>
      <w:r>
        <w:instrText xml:space="preserve"> PAGEREF _Toc10696 \h </w:instrText>
      </w:r>
      <w:r>
        <w:fldChar w:fldCharType="separate"/>
      </w:r>
      <w:r>
        <w:t>5</w:t>
      </w:r>
      <w:r>
        <w:fldChar w:fldCharType="end"/>
      </w:r>
      <w:r>
        <w:fldChar w:fldCharType="end"/>
      </w:r>
    </w:p>
    <w:p>
      <w:pPr>
        <w:pStyle w:val="25"/>
        <w:tabs>
          <w:tab w:val="right" w:leader="dot" w:pos="9354"/>
          <w:tab w:val="clear" w:pos="9344"/>
        </w:tabs>
      </w:pPr>
      <w:r>
        <w:fldChar w:fldCharType="begin"/>
      </w:r>
      <w:r>
        <w:instrText xml:space="preserve"> HYPERLINK \l _Toc659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6.4 </w:t>
      </w:r>
      <w:r>
        <w:rPr>
          <w:rFonts w:hint="eastAsia"/>
        </w:rPr>
        <w:t>生产排放物处理设施</w:t>
      </w:r>
      <w:r>
        <w:tab/>
      </w:r>
      <w:r>
        <w:fldChar w:fldCharType="begin"/>
      </w:r>
      <w:r>
        <w:instrText xml:space="preserve"> PAGEREF _Toc659 \h </w:instrText>
      </w:r>
      <w:r>
        <w:fldChar w:fldCharType="separate"/>
      </w:r>
      <w:r>
        <w:t>6</w:t>
      </w:r>
      <w:r>
        <w:fldChar w:fldCharType="end"/>
      </w:r>
      <w:r>
        <w:fldChar w:fldCharType="end"/>
      </w:r>
    </w:p>
    <w:p>
      <w:pPr>
        <w:pStyle w:val="20"/>
        <w:tabs>
          <w:tab w:val="right" w:leader="dot" w:pos="9354"/>
        </w:tabs>
      </w:pPr>
      <w:r>
        <w:fldChar w:fldCharType="begin"/>
      </w:r>
      <w:r>
        <w:instrText xml:space="preserve"> HYPERLINK \l _Toc31581 </w:instrText>
      </w:r>
      <w:r>
        <w:fldChar w:fldCharType="separate"/>
      </w:r>
      <w:r>
        <w:rPr>
          <w:rFonts w:hint="eastAsia" w:ascii="黑体" w:eastAsia="黑体"/>
          <w:i w:val="0"/>
        </w:rPr>
        <w:t xml:space="preserve">7 </w:t>
      </w:r>
      <w:r>
        <w:rPr>
          <w:rFonts w:hint="eastAsia"/>
        </w:rPr>
        <w:t>预拌混凝土绿色设计</w:t>
      </w:r>
      <w:r>
        <w:tab/>
      </w:r>
      <w:r>
        <w:fldChar w:fldCharType="begin"/>
      </w:r>
      <w:r>
        <w:instrText xml:space="preserve"> PAGEREF _Toc31581 \h </w:instrText>
      </w:r>
      <w:r>
        <w:fldChar w:fldCharType="separate"/>
      </w:r>
      <w:r>
        <w:t>6</w:t>
      </w:r>
      <w:r>
        <w:fldChar w:fldCharType="end"/>
      </w:r>
      <w:r>
        <w:fldChar w:fldCharType="end"/>
      </w:r>
    </w:p>
    <w:p>
      <w:pPr>
        <w:pStyle w:val="25"/>
        <w:tabs>
          <w:tab w:val="right" w:leader="dot" w:pos="9354"/>
          <w:tab w:val="clear" w:pos="9344"/>
        </w:tabs>
      </w:pPr>
      <w:r>
        <w:fldChar w:fldCharType="begin"/>
      </w:r>
      <w:r>
        <w:instrText xml:space="preserve"> HYPERLINK \l _Toc8815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7.1 </w:t>
      </w:r>
      <w:r>
        <w:rPr>
          <w:rFonts w:hint="eastAsia"/>
          <w:lang w:val="en-US" w:eastAsia="zh-CN"/>
        </w:rPr>
        <w:t>一般规定</w:t>
      </w:r>
      <w:r>
        <w:tab/>
      </w:r>
      <w:r>
        <w:fldChar w:fldCharType="begin"/>
      </w:r>
      <w:r>
        <w:instrText xml:space="preserve"> PAGEREF _Toc8815 \h </w:instrText>
      </w:r>
      <w:r>
        <w:fldChar w:fldCharType="separate"/>
      </w:r>
      <w:r>
        <w:t>6</w:t>
      </w:r>
      <w:r>
        <w:fldChar w:fldCharType="end"/>
      </w:r>
      <w:r>
        <w:fldChar w:fldCharType="end"/>
      </w:r>
    </w:p>
    <w:p>
      <w:pPr>
        <w:pStyle w:val="25"/>
        <w:tabs>
          <w:tab w:val="right" w:leader="dot" w:pos="9354"/>
          <w:tab w:val="clear" w:pos="9344"/>
        </w:tabs>
      </w:pPr>
      <w:r>
        <w:fldChar w:fldCharType="begin"/>
      </w:r>
      <w:r>
        <w:instrText xml:space="preserve"> HYPERLINK \l _Toc26644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7.2 </w:t>
      </w:r>
      <w:r>
        <w:rPr>
          <w:rFonts w:hint="eastAsia"/>
          <w:lang w:val="en-US" w:eastAsia="zh-CN"/>
        </w:rPr>
        <w:t>原材料</w:t>
      </w:r>
      <w:r>
        <w:tab/>
      </w:r>
      <w:r>
        <w:fldChar w:fldCharType="begin"/>
      </w:r>
      <w:r>
        <w:instrText xml:space="preserve"> PAGEREF _Toc26644 \h </w:instrText>
      </w:r>
      <w:r>
        <w:fldChar w:fldCharType="separate"/>
      </w:r>
      <w:r>
        <w:t>6</w:t>
      </w:r>
      <w:r>
        <w:fldChar w:fldCharType="end"/>
      </w:r>
      <w:r>
        <w:fldChar w:fldCharType="end"/>
      </w:r>
    </w:p>
    <w:p>
      <w:pPr>
        <w:pStyle w:val="25"/>
        <w:tabs>
          <w:tab w:val="right" w:leader="dot" w:pos="9354"/>
          <w:tab w:val="clear" w:pos="9344"/>
        </w:tabs>
      </w:pPr>
      <w:r>
        <w:fldChar w:fldCharType="begin"/>
      </w:r>
      <w:r>
        <w:instrText xml:space="preserve"> HYPERLINK \l _Toc22793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7.3 </w:t>
      </w:r>
      <w:r>
        <w:rPr>
          <w:rFonts w:hint="eastAsia"/>
          <w:lang w:val="en-US" w:eastAsia="zh-CN"/>
        </w:rPr>
        <w:t>配合比设计</w:t>
      </w:r>
      <w:r>
        <w:tab/>
      </w:r>
      <w:r>
        <w:fldChar w:fldCharType="begin"/>
      </w:r>
      <w:r>
        <w:instrText xml:space="preserve"> PAGEREF _Toc22793 \h </w:instrText>
      </w:r>
      <w:r>
        <w:fldChar w:fldCharType="separate"/>
      </w:r>
      <w:r>
        <w:t>6</w:t>
      </w:r>
      <w:r>
        <w:fldChar w:fldCharType="end"/>
      </w:r>
      <w:r>
        <w:fldChar w:fldCharType="end"/>
      </w:r>
    </w:p>
    <w:p>
      <w:pPr>
        <w:pStyle w:val="20"/>
        <w:tabs>
          <w:tab w:val="right" w:leader="dot" w:pos="9354"/>
        </w:tabs>
      </w:pPr>
      <w:r>
        <w:fldChar w:fldCharType="begin"/>
      </w:r>
      <w:r>
        <w:instrText xml:space="preserve"> HYPERLINK \l _Toc10546 </w:instrText>
      </w:r>
      <w:r>
        <w:fldChar w:fldCharType="separate"/>
      </w:r>
      <w:r>
        <w:rPr>
          <w:rFonts w:hint="eastAsia" w:ascii="黑体" w:eastAsia="黑体"/>
          <w:i w:val="0"/>
        </w:rPr>
        <w:t xml:space="preserve">8 </w:t>
      </w:r>
      <w:r>
        <w:rPr>
          <w:rFonts w:hint="eastAsia"/>
        </w:rPr>
        <w:t>生产管理</w:t>
      </w:r>
      <w:r>
        <w:tab/>
      </w:r>
      <w:r>
        <w:fldChar w:fldCharType="begin"/>
      </w:r>
      <w:r>
        <w:instrText xml:space="preserve"> PAGEREF _Toc10546 \h </w:instrText>
      </w:r>
      <w:r>
        <w:fldChar w:fldCharType="separate"/>
      </w:r>
      <w:r>
        <w:t>7</w:t>
      </w:r>
      <w:r>
        <w:fldChar w:fldCharType="end"/>
      </w:r>
      <w:r>
        <w:fldChar w:fldCharType="end"/>
      </w:r>
    </w:p>
    <w:p>
      <w:pPr>
        <w:pStyle w:val="25"/>
        <w:tabs>
          <w:tab w:val="right" w:leader="dot" w:pos="9354"/>
          <w:tab w:val="clear" w:pos="9344"/>
        </w:tabs>
      </w:pPr>
      <w:r>
        <w:fldChar w:fldCharType="begin"/>
      </w:r>
      <w:r>
        <w:instrText xml:space="preserve"> HYPERLINK \l _Toc21901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8.1 </w:t>
      </w:r>
      <w:r>
        <w:rPr>
          <w:rFonts w:hint="eastAsia"/>
          <w:lang w:val="en-US" w:eastAsia="zh-CN"/>
        </w:rPr>
        <w:t>一般规定</w:t>
      </w:r>
      <w:r>
        <w:tab/>
      </w:r>
      <w:r>
        <w:fldChar w:fldCharType="begin"/>
      </w:r>
      <w:r>
        <w:instrText xml:space="preserve"> PAGEREF _Toc21901 \h </w:instrText>
      </w:r>
      <w:r>
        <w:fldChar w:fldCharType="separate"/>
      </w:r>
      <w:r>
        <w:t>7</w:t>
      </w:r>
      <w:r>
        <w:fldChar w:fldCharType="end"/>
      </w:r>
      <w:r>
        <w:fldChar w:fldCharType="end"/>
      </w:r>
    </w:p>
    <w:p>
      <w:pPr>
        <w:pStyle w:val="25"/>
        <w:tabs>
          <w:tab w:val="right" w:leader="dot" w:pos="9354"/>
          <w:tab w:val="clear" w:pos="9344"/>
        </w:tabs>
      </w:pPr>
      <w:r>
        <w:fldChar w:fldCharType="begin"/>
      </w:r>
      <w:r>
        <w:instrText xml:space="preserve"> HYPERLINK \l _Toc10281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8.2 </w:t>
      </w:r>
      <w:r>
        <w:rPr>
          <w:rFonts w:hint="eastAsia"/>
          <w:lang w:val="en-US" w:eastAsia="zh-CN"/>
        </w:rPr>
        <w:t>原材料管理</w:t>
      </w:r>
      <w:r>
        <w:tab/>
      </w:r>
      <w:r>
        <w:fldChar w:fldCharType="begin"/>
      </w:r>
      <w:r>
        <w:instrText xml:space="preserve"> PAGEREF _Toc10281 \h </w:instrText>
      </w:r>
      <w:r>
        <w:fldChar w:fldCharType="separate"/>
      </w:r>
      <w:r>
        <w:t>7</w:t>
      </w:r>
      <w:r>
        <w:fldChar w:fldCharType="end"/>
      </w:r>
      <w:r>
        <w:fldChar w:fldCharType="end"/>
      </w:r>
    </w:p>
    <w:p>
      <w:pPr>
        <w:pStyle w:val="25"/>
        <w:tabs>
          <w:tab w:val="right" w:leader="dot" w:pos="9354"/>
          <w:tab w:val="clear" w:pos="9344"/>
        </w:tabs>
      </w:pPr>
      <w:r>
        <w:fldChar w:fldCharType="begin"/>
      </w:r>
      <w:r>
        <w:instrText xml:space="preserve"> HYPERLINK \l _Toc24249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8.3 </w:t>
      </w:r>
      <w:r>
        <w:rPr>
          <w:rFonts w:hint="eastAsia"/>
          <w:lang w:val="en-US" w:eastAsia="zh-CN"/>
        </w:rPr>
        <w:t>生产过程管理</w:t>
      </w:r>
      <w:r>
        <w:tab/>
      </w:r>
      <w:r>
        <w:fldChar w:fldCharType="begin"/>
      </w:r>
      <w:r>
        <w:instrText xml:space="preserve"> PAGEREF _Toc24249 \h </w:instrText>
      </w:r>
      <w:r>
        <w:fldChar w:fldCharType="separate"/>
      </w:r>
      <w:r>
        <w:t>7</w:t>
      </w:r>
      <w:r>
        <w:fldChar w:fldCharType="end"/>
      </w:r>
      <w:r>
        <w:fldChar w:fldCharType="end"/>
      </w:r>
    </w:p>
    <w:p>
      <w:pPr>
        <w:pStyle w:val="25"/>
        <w:tabs>
          <w:tab w:val="right" w:leader="dot" w:pos="9354"/>
          <w:tab w:val="clear" w:pos="9344"/>
        </w:tabs>
      </w:pPr>
      <w:r>
        <w:fldChar w:fldCharType="begin"/>
      </w:r>
      <w:r>
        <w:instrText xml:space="preserve"> HYPERLINK \l _Toc20365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8.4 </w:t>
      </w:r>
      <w:r>
        <w:rPr>
          <w:rFonts w:hint="eastAsia"/>
          <w:lang w:val="en-US" w:eastAsia="zh-CN"/>
        </w:rPr>
        <w:t>生产过程管理</w:t>
      </w:r>
      <w:r>
        <w:tab/>
      </w:r>
      <w:r>
        <w:fldChar w:fldCharType="begin"/>
      </w:r>
      <w:r>
        <w:instrText xml:space="preserve"> PAGEREF _Toc20365 \h </w:instrText>
      </w:r>
      <w:r>
        <w:fldChar w:fldCharType="separate"/>
      </w:r>
      <w:r>
        <w:t>7</w:t>
      </w:r>
      <w:r>
        <w:fldChar w:fldCharType="end"/>
      </w:r>
      <w:r>
        <w:fldChar w:fldCharType="end"/>
      </w:r>
    </w:p>
    <w:p>
      <w:pPr>
        <w:pStyle w:val="25"/>
        <w:tabs>
          <w:tab w:val="right" w:leader="dot" w:pos="9354"/>
          <w:tab w:val="clear" w:pos="9344"/>
        </w:tabs>
      </w:pPr>
      <w:r>
        <w:fldChar w:fldCharType="begin"/>
      </w:r>
      <w:r>
        <w:instrText xml:space="preserve"> HYPERLINK \l _Toc8311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8.5 </w:t>
      </w:r>
      <w:r>
        <w:rPr>
          <w:rFonts w:hint="eastAsia"/>
        </w:rPr>
        <w:t>监测控制</w:t>
      </w:r>
      <w:r>
        <w:tab/>
      </w:r>
      <w:r>
        <w:fldChar w:fldCharType="begin"/>
      </w:r>
      <w:r>
        <w:instrText xml:space="preserve"> PAGEREF _Toc8311 \h </w:instrText>
      </w:r>
      <w:r>
        <w:fldChar w:fldCharType="separate"/>
      </w:r>
      <w:r>
        <w:t>8</w:t>
      </w:r>
      <w:r>
        <w:fldChar w:fldCharType="end"/>
      </w:r>
      <w:r>
        <w:fldChar w:fldCharType="end"/>
      </w:r>
    </w:p>
    <w:p>
      <w:pPr>
        <w:pStyle w:val="20"/>
        <w:tabs>
          <w:tab w:val="right" w:leader="dot" w:pos="9354"/>
        </w:tabs>
      </w:pPr>
      <w:r>
        <w:fldChar w:fldCharType="begin"/>
      </w:r>
      <w:r>
        <w:instrText xml:space="preserve"> HYPERLINK \l _Toc24759 </w:instrText>
      </w:r>
      <w:r>
        <w:fldChar w:fldCharType="separate"/>
      </w:r>
      <w:r>
        <w:rPr>
          <w:rFonts w:hint="eastAsia" w:ascii="黑体" w:eastAsia="黑体"/>
          <w:i w:val="0"/>
        </w:rPr>
        <w:t xml:space="preserve">9 </w:t>
      </w:r>
      <w:r>
        <w:rPr>
          <w:rFonts w:hint="eastAsia"/>
          <w:lang w:val="en-US" w:eastAsia="zh-CN"/>
        </w:rPr>
        <w:t>控制要求</w:t>
      </w:r>
      <w:r>
        <w:tab/>
      </w:r>
      <w:r>
        <w:fldChar w:fldCharType="begin"/>
      </w:r>
      <w:r>
        <w:instrText xml:space="preserve"> PAGEREF _Toc24759 \h </w:instrText>
      </w:r>
      <w:r>
        <w:fldChar w:fldCharType="separate"/>
      </w:r>
      <w:r>
        <w:t>8</w:t>
      </w:r>
      <w:r>
        <w:fldChar w:fldCharType="end"/>
      </w:r>
      <w:r>
        <w:fldChar w:fldCharType="end"/>
      </w:r>
    </w:p>
    <w:p>
      <w:pPr>
        <w:pStyle w:val="25"/>
        <w:tabs>
          <w:tab w:val="right" w:leader="dot" w:pos="9354"/>
          <w:tab w:val="clear" w:pos="9344"/>
        </w:tabs>
      </w:pPr>
      <w:r>
        <w:fldChar w:fldCharType="begin"/>
      </w:r>
      <w:r>
        <w:instrText xml:space="preserve"> HYPERLINK \l _Toc28522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9.1 </w:t>
      </w:r>
      <w:r>
        <w:rPr>
          <w:rFonts w:hint="eastAsia"/>
        </w:rPr>
        <w:t>原材料控制要求</w:t>
      </w:r>
      <w:r>
        <w:tab/>
      </w:r>
      <w:r>
        <w:fldChar w:fldCharType="begin"/>
      </w:r>
      <w:r>
        <w:instrText xml:space="preserve"> PAGEREF _Toc28522 \h </w:instrText>
      </w:r>
      <w:r>
        <w:fldChar w:fldCharType="separate"/>
      </w:r>
      <w:r>
        <w:t>8</w:t>
      </w:r>
      <w:r>
        <w:fldChar w:fldCharType="end"/>
      </w:r>
      <w:r>
        <w:fldChar w:fldCharType="end"/>
      </w:r>
    </w:p>
    <w:p>
      <w:pPr>
        <w:pStyle w:val="25"/>
        <w:tabs>
          <w:tab w:val="right" w:leader="dot" w:pos="9354"/>
          <w:tab w:val="clear" w:pos="9344"/>
        </w:tabs>
      </w:pPr>
      <w:r>
        <w:fldChar w:fldCharType="begin"/>
      </w:r>
      <w:r>
        <w:instrText xml:space="preserve"> HYPERLINK \l _Toc23466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9.2 </w:t>
      </w:r>
      <w:r>
        <w:rPr>
          <w:rFonts w:hint="eastAsia"/>
        </w:rPr>
        <w:t>生产排放物控制要求</w:t>
      </w:r>
      <w:r>
        <w:tab/>
      </w:r>
      <w:r>
        <w:fldChar w:fldCharType="begin"/>
      </w:r>
      <w:r>
        <w:instrText xml:space="preserve"> PAGEREF _Toc23466 \h </w:instrText>
      </w:r>
      <w:r>
        <w:fldChar w:fldCharType="separate"/>
      </w:r>
      <w:r>
        <w:t>8</w:t>
      </w:r>
      <w:r>
        <w:fldChar w:fldCharType="end"/>
      </w:r>
      <w:r>
        <w:fldChar w:fldCharType="end"/>
      </w:r>
    </w:p>
    <w:p>
      <w:pPr>
        <w:pStyle w:val="20"/>
        <w:tabs>
          <w:tab w:val="right" w:leader="dot" w:pos="9354"/>
        </w:tabs>
      </w:pPr>
      <w:r>
        <w:fldChar w:fldCharType="begin"/>
      </w:r>
      <w:r>
        <w:instrText xml:space="preserve"> HYPERLINK \l _Toc31180 </w:instrText>
      </w:r>
      <w:r>
        <w:fldChar w:fldCharType="separate"/>
      </w:r>
      <w:r>
        <w:rPr>
          <w:rFonts w:hint="eastAsia" w:ascii="黑体" w:eastAsia="黑体"/>
          <w:i w:val="0"/>
        </w:rPr>
        <w:t xml:space="preserve">10 </w:t>
      </w:r>
      <w:r>
        <w:rPr>
          <w:rFonts w:hint="eastAsia"/>
        </w:rPr>
        <w:t>碳排放管理</w:t>
      </w:r>
      <w:r>
        <w:tab/>
      </w:r>
      <w:r>
        <w:fldChar w:fldCharType="begin"/>
      </w:r>
      <w:r>
        <w:instrText xml:space="preserve"> PAGEREF _Toc31180 \h </w:instrText>
      </w:r>
      <w:r>
        <w:fldChar w:fldCharType="separate"/>
      </w:r>
      <w:r>
        <w:t>8</w:t>
      </w:r>
      <w:r>
        <w:fldChar w:fldCharType="end"/>
      </w:r>
      <w:r>
        <w:fldChar w:fldCharType="end"/>
      </w:r>
    </w:p>
    <w:p>
      <w:pPr>
        <w:pStyle w:val="20"/>
        <w:tabs>
          <w:tab w:val="right" w:leader="dot" w:pos="9354"/>
        </w:tabs>
      </w:pPr>
      <w:r>
        <w:fldChar w:fldCharType="begin"/>
      </w:r>
      <w:r>
        <w:instrText xml:space="preserve"> HYPERLINK \l _Toc13043 </w:instrText>
      </w:r>
      <w:r>
        <w:fldChar w:fldCharType="separate"/>
      </w:r>
      <w:r>
        <w:rPr>
          <w:rFonts w:hint="eastAsia"/>
          <w:spacing w:val="0"/>
          <w:sz w:val="21"/>
        </w:rPr>
        <w:t>附录A</w:t>
      </w:r>
      <w:r>
        <w:rPr>
          <w:rFonts w:hint="eastAsia"/>
        </w:rPr>
        <w:t>（</w:t>
      </w:r>
      <w:r>
        <w:rPr>
          <w:rFonts w:hint="eastAsia"/>
          <w:lang w:val="en-US" w:eastAsia="zh-CN"/>
        </w:rPr>
        <w:t>规范性</w:t>
      </w:r>
      <w:r>
        <w:rPr>
          <w:rFonts w:hint="eastAsia"/>
        </w:rPr>
        <w:t>）</w:t>
      </w:r>
      <w:r>
        <w:t xml:space="preserve"> </w:t>
      </w:r>
      <w:r>
        <w:rPr>
          <w:rFonts w:hint="eastAsia"/>
        </w:rPr>
        <w:t>绿色生产评价</w:t>
      </w:r>
      <w:r>
        <w:tab/>
      </w:r>
      <w:r>
        <w:fldChar w:fldCharType="begin"/>
      </w:r>
      <w:r>
        <w:instrText xml:space="preserve"> PAGEREF _Toc13043 \h </w:instrText>
      </w:r>
      <w:r>
        <w:fldChar w:fldCharType="separate"/>
      </w:r>
      <w:r>
        <w:t>10</w:t>
      </w:r>
      <w:r>
        <w:fldChar w:fldCharType="end"/>
      </w:r>
      <w:r>
        <w:fldChar w:fldCharType="end"/>
      </w:r>
    </w:p>
    <w:p>
      <w:pPr>
        <w:pStyle w:val="20"/>
        <w:tabs>
          <w:tab w:val="right" w:leader="dot" w:pos="9354"/>
        </w:tabs>
      </w:pPr>
      <w:r>
        <w:fldChar w:fldCharType="begin"/>
      </w:r>
      <w:r>
        <w:instrText xml:space="preserve"> HYPERLINK \l _Toc22603 </w:instrText>
      </w:r>
      <w:r>
        <w:fldChar w:fldCharType="separate"/>
      </w:r>
      <w:r>
        <w:rPr>
          <w:rFonts w:hint="eastAsia"/>
          <w:spacing w:val="0"/>
          <w:sz w:val="21"/>
        </w:rPr>
        <w:t>附录B（</w:t>
      </w:r>
      <w:r>
        <w:rPr>
          <w:rFonts w:hint="eastAsia"/>
          <w:lang w:val="en-US" w:eastAsia="zh-CN"/>
        </w:rPr>
        <w:t>规范</w:t>
      </w:r>
      <w:r>
        <w:rPr>
          <w:rFonts w:hint="eastAsia"/>
        </w:rPr>
        <w:t>性）</w:t>
      </w:r>
      <w:r>
        <w:t xml:space="preserve"> </w:t>
      </w:r>
      <w:r>
        <w:rPr>
          <w:rFonts w:hint="eastAsia"/>
        </w:rPr>
        <w:t>预拌混凝土单位产品碳排放量计算方法</w:t>
      </w:r>
      <w:r>
        <w:tab/>
      </w:r>
      <w:r>
        <w:fldChar w:fldCharType="begin"/>
      </w:r>
      <w:r>
        <w:instrText xml:space="preserve"> PAGEREF _Toc22603 \h </w:instrText>
      </w:r>
      <w:r>
        <w:fldChar w:fldCharType="separate"/>
      </w:r>
      <w:r>
        <w:t>12</w:t>
      </w:r>
      <w:r>
        <w:fldChar w:fldCharType="end"/>
      </w:r>
      <w:r>
        <w:fldChar w:fldCharType="end"/>
      </w:r>
    </w:p>
    <w:p>
      <w:pPr>
        <w:pStyle w:val="20"/>
        <w:tabs>
          <w:tab w:val="right" w:leader="dot" w:pos="9354"/>
        </w:tabs>
      </w:pPr>
      <w:r>
        <w:fldChar w:fldCharType="begin"/>
      </w:r>
      <w:r>
        <w:instrText xml:space="preserve"> HYPERLINK \l _Toc5007 </w:instrText>
      </w:r>
      <w:r>
        <w:fldChar w:fldCharType="separate"/>
      </w:r>
      <w:r>
        <w:rPr>
          <w:rFonts w:hint="eastAsia"/>
          <w:spacing w:val="0"/>
          <w:sz w:val="21"/>
        </w:rPr>
        <w:t>附录C（</w:t>
      </w:r>
      <w:r>
        <w:rPr>
          <w:rFonts w:hint="eastAsia"/>
          <w:lang w:val="en-US" w:eastAsia="zh-CN"/>
        </w:rPr>
        <w:t>资料</w:t>
      </w:r>
      <w:r>
        <w:rPr>
          <w:rFonts w:hint="eastAsia"/>
        </w:rPr>
        <w:t>性）</w:t>
      </w:r>
      <w:r>
        <w:t xml:space="preserve"> </w:t>
      </w:r>
      <w:r>
        <w:rPr>
          <w:rFonts w:hint="eastAsia"/>
        </w:rPr>
        <w:t>预拌混凝土单位产品碳排放量计算</w:t>
      </w:r>
      <w:r>
        <w:rPr>
          <w:rFonts w:hint="eastAsia"/>
          <w:lang w:val="en-US" w:eastAsia="zh-CN"/>
        </w:rPr>
        <w:t>示例</w:t>
      </w:r>
      <w:r>
        <w:tab/>
      </w:r>
      <w:r>
        <w:fldChar w:fldCharType="begin"/>
      </w:r>
      <w:r>
        <w:instrText xml:space="preserve"> PAGEREF _Toc5007 \h </w:instrText>
      </w:r>
      <w:r>
        <w:fldChar w:fldCharType="separate"/>
      </w:r>
      <w:r>
        <w:t>16</w:t>
      </w:r>
      <w:r>
        <w:fldChar w:fldCharType="end"/>
      </w:r>
      <w:r>
        <w:fldChar w:fldCharType="end"/>
      </w:r>
    </w:p>
    <w:p>
      <w:pPr>
        <w:pStyle w:val="93"/>
        <w:spacing w:after="468"/>
        <w:sectPr>
          <w:headerReference r:id="rId11" w:type="default"/>
          <w:footerReference r:id="rId13" w:type="default"/>
          <w:headerReference r:id="rId12" w:type="even"/>
          <w:footerReference r:id="rId14" w:type="even"/>
          <w:pgSz w:w="11906" w:h="16838"/>
          <w:pgMar w:top="567" w:right="1134" w:bottom="1134" w:left="1134" w:header="1418" w:footer="1134" w:gutter="284"/>
          <w:pgNumType w:fmt="upperRoman" w:start="1"/>
          <w:cols w:space="425" w:num="1"/>
          <w:formProt w:val="0"/>
          <w:docGrid w:type="lines" w:linePitch="312" w:charSpace="0"/>
        </w:sectPr>
      </w:pPr>
      <w:r>
        <w:fldChar w:fldCharType="end"/>
      </w:r>
    </w:p>
    <w:bookmarkEnd w:id="21"/>
    <w:p>
      <w:pPr>
        <w:pStyle w:val="91"/>
        <w:spacing w:after="468"/>
      </w:pPr>
      <w:bookmarkStart w:id="22" w:name="_Toc5618"/>
      <w:bookmarkStart w:id="23" w:name="BookMark2"/>
      <w:r>
        <w:rPr>
          <w:spacing w:val="320"/>
        </w:rPr>
        <w:t>前</w:t>
      </w:r>
      <w:r>
        <w:t>言</w:t>
      </w:r>
      <w:bookmarkEnd w:id="22"/>
    </w:p>
    <w:p>
      <w:pPr>
        <w:pStyle w:val="58"/>
        <w:ind w:firstLine="420"/>
        <w:rPr>
          <w:rFonts w:hAnsi="宋体" w:cs="宋体"/>
          <w:szCs w:val="21"/>
        </w:rPr>
      </w:pPr>
      <w:r>
        <w:rPr>
          <w:rFonts w:hint="eastAsia" w:hAnsi="宋体" w:cs="宋体"/>
          <w:szCs w:val="21"/>
        </w:rPr>
        <w:t>本文件按照GB/T 1.1—2020《标准化工作导则  第1部分：标准化文件的结构和起草规则》的规定起草。</w:t>
      </w:r>
    </w:p>
    <w:p>
      <w:pPr>
        <w:pStyle w:val="58"/>
        <w:ind w:firstLine="420"/>
        <w:rPr>
          <w:rFonts w:hAnsi="宋体" w:cs="宋体"/>
          <w:szCs w:val="21"/>
        </w:rPr>
      </w:pPr>
      <w:r>
        <w:rPr>
          <w:rFonts w:hint="eastAsia" w:hAnsi="宋体" w:cs="宋体"/>
          <w:szCs w:val="21"/>
        </w:rPr>
        <w:t>本文代替DGJ32/TJ 119-2011 《预拌混凝土绿色生产管理规程》，与DGJ32/TJ 119-2011相比，结构未有大的改动，除编辑性改动外主要技术变化如下：</w:t>
      </w:r>
    </w:p>
    <w:p>
      <w:pPr>
        <w:pStyle w:val="58"/>
        <w:ind w:firstLine="420"/>
        <w:rPr>
          <w:rFonts w:hAnsi="宋体" w:cs="宋体"/>
          <w:szCs w:val="21"/>
        </w:rPr>
      </w:pPr>
      <w:r>
        <w:rPr>
          <w:rFonts w:hint="eastAsia" w:hAnsi="宋体" w:cs="宋体"/>
          <w:szCs w:val="21"/>
        </w:rPr>
        <w:t>——增加了“控制要求”章节；</w:t>
      </w:r>
    </w:p>
    <w:p>
      <w:pPr>
        <w:pStyle w:val="58"/>
        <w:ind w:firstLine="420"/>
        <w:rPr>
          <w:rFonts w:hAnsi="宋体" w:cs="宋体"/>
          <w:szCs w:val="21"/>
        </w:rPr>
      </w:pPr>
      <w:r>
        <w:rPr>
          <w:rFonts w:hint="eastAsia" w:hAnsi="宋体" w:cs="宋体"/>
          <w:szCs w:val="21"/>
        </w:rPr>
        <w:t>——增加了“监测控制”章节；</w:t>
      </w:r>
    </w:p>
    <w:p>
      <w:pPr>
        <w:pStyle w:val="58"/>
        <w:ind w:firstLine="420"/>
        <w:rPr>
          <w:rFonts w:hAnsi="宋体" w:cs="宋体"/>
          <w:szCs w:val="21"/>
        </w:rPr>
      </w:pPr>
      <w:r>
        <w:rPr>
          <w:rFonts w:hint="eastAsia" w:hAnsi="宋体" w:cs="宋体"/>
          <w:szCs w:val="21"/>
        </w:rPr>
        <w:t>——删除了“施工现场”章节；</w:t>
      </w:r>
    </w:p>
    <w:p>
      <w:pPr>
        <w:pStyle w:val="58"/>
        <w:ind w:firstLine="420"/>
        <w:rPr>
          <w:rFonts w:hAnsi="宋体" w:cs="宋体"/>
          <w:szCs w:val="21"/>
        </w:rPr>
      </w:pPr>
      <w:r>
        <w:rPr>
          <w:rFonts w:hint="eastAsia" w:hAnsi="宋体" w:cs="宋体"/>
          <w:szCs w:val="21"/>
        </w:rPr>
        <w:t>——增加了“碳排放管理”章节；</w:t>
      </w:r>
    </w:p>
    <w:p>
      <w:pPr>
        <w:pStyle w:val="58"/>
        <w:ind w:firstLine="420"/>
        <w:rPr>
          <w:rFonts w:hAnsi="宋体" w:cs="宋体"/>
          <w:szCs w:val="21"/>
        </w:rPr>
      </w:pPr>
      <w:r>
        <w:rPr>
          <w:rFonts w:hint="eastAsia" w:hAnsi="宋体" w:cs="宋体"/>
          <w:szCs w:val="21"/>
        </w:rPr>
        <w:t>——增加了附录内容。</w:t>
      </w:r>
    </w:p>
    <w:p>
      <w:pPr>
        <w:pStyle w:val="58"/>
        <w:ind w:firstLine="420"/>
        <w:rPr>
          <w:rFonts w:hint="eastAsia"/>
        </w:rPr>
      </w:pPr>
      <w:r>
        <w:rPr>
          <w:rFonts w:hint="eastAsia"/>
        </w:rPr>
        <w:t>请注意本文件的某些内容可能涉及专利。本文件的发布机构不承担识别专利的责任。</w:t>
      </w:r>
    </w:p>
    <w:p>
      <w:pPr>
        <w:pStyle w:val="58"/>
        <w:ind w:firstLine="420"/>
        <w:rPr>
          <w:rFonts w:hAnsi="宋体" w:cs="宋体"/>
          <w:szCs w:val="21"/>
        </w:rPr>
      </w:pPr>
      <w:r>
        <w:rPr>
          <w:rFonts w:hint="eastAsia"/>
        </w:rPr>
        <w:t>本文件由江苏省住房和城乡建设厅提出、归口并组织实施。</w:t>
      </w:r>
    </w:p>
    <w:p>
      <w:pPr>
        <w:pStyle w:val="58"/>
        <w:ind w:firstLine="420"/>
        <w:rPr>
          <w:rFonts w:hAnsi="宋体" w:cs="宋体"/>
          <w:szCs w:val="21"/>
        </w:rPr>
      </w:pPr>
      <w:r>
        <w:rPr>
          <w:rFonts w:hint="eastAsia" w:hAnsi="宋体" w:cs="宋体"/>
          <w:szCs w:val="21"/>
        </w:rPr>
        <w:t>本文件起草单位：南京市绿色建筑与绿色建材发展中心、江苏苏博特新材料股份有限公司、东南大学、</w:t>
      </w:r>
      <w:r>
        <w:rPr>
          <w:rFonts w:hint="eastAsia" w:hAnsi="宋体" w:cs="宋体"/>
          <w:szCs w:val="21"/>
          <w:lang w:val="en-US" w:eastAsia="zh-CN"/>
        </w:rPr>
        <w:t>华东材料南京</w:t>
      </w:r>
      <w:r>
        <w:rPr>
          <w:rFonts w:hint="eastAsia" w:hAnsi="宋体" w:cs="宋体"/>
          <w:szCs w:val="21"/>
        </w:rPr>
        <w:t>有限公司、江苏中建商品混凝土有限公司、江苏雨泉混凝土有限公司。</w:t>
      </w:r>
    </w:p>
    <w:p>
      <w:pPr>
        <w:pStyle w:val="58"/>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Ansi="宋体" w:cs="宋体"/>
          <w:szCs w:val="21"/>
        </w:rPr>
      </w:pPr>
      <w:r>
        <w:rPr>
          <w:rFonts w:hint="eastAsia" w:hAnsi="宋体" w:cs="宋体"/>
          <w:szCs w:val="21"/>
        </w:rPr>
        <w:t>本文件主要起草人：钱晨、陆加越、程广林、赵春艳、刘建忠、王方刚、李德智、王子龙、万瑞、程家连、余韬、赵少鹏、郭飞、于路港。</w:t>
      </w:r>
    </w:p>
    <w:p>
      <w:pPr>
        <w:pStyle w:val="58"/>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Ansi="宋体" w:cs="宋体"/>
          <w:szCs w:val="21"/>
        </w:rPr>
      </w:pPr>
      <w:r>
        <w:rPr>
          <w:rFonts w:hint="eastAsia" w:hAnsi="宋体" w:cs="宋体"/>
          <w:szCs w:val="21"/>
        </w:rPr>
        <w:t>本文件及其所替代文件的历次版本发布情况为：</w:t>
      </w:r>
    </w:p>
    <w:p>
      <w:pPr>
        <w:pStyle w:val="58"/>
        <w:keepNext w:val="0"/>
        <w:keepLines w:val="0"/>
        <w:pageBreakBefore w:val="0"/>
        <w:widowControl/>
        <w:kinsoku/>
        <w:wordWrap/>
        <w:overflowPunct/>
        <w:topLinePunct w:val="0"/>
        <w:autoSpaceDE w:val="0"/>
        <w:autoSpaceDN w:val="0"/>
        <w:bidi w:val="0"/>
        <w:adjustRightInd/>
        <w:snapToGrid/>
        <w:spacing w:line="240" w:lineRule="auto"/>
        <w:ind w:firstLine="420"/>
        <w:textAlignment w:val="auto"/>
        <w:rPr>
          <w:rFonts w:hAnsi="宋体" w:cs="宋体"/>
          <w:szCs w:val="21"/>
        </w:rPr>
      </w:pPr>
      <w:r>
        <w:rPr>
          <w:rFonts w:hint="eastAsia" w:hAnsi="宋体" w:cs="宋体"/>
          <w:szCs w:val="21"/>
        </w:rPr>
        <w:t>——2011年首次发布为DGJ32/TJ 119-2011；</w:t>
      </w:r>
    </w:p>
    <w:p>
      <w:pPr>
        <w:pStyle w:val="58"/>
        <w:keepNext w:val="0"/>
        <w:keepLines w:val="0"/>
        <w:pageBreakBefore w:val="0"/>
        <w:widowControl/>
        <w:kinsoku/>
        <w:wordWrap/>
        <w:overflowPunct/>
        <w:topLinePunct w:val="0"/>
        <w:autoSpaceDE w:val="0"/>
        <w:autoSpaceDN w:val="0"/>
        <w:bidi w:val="0"/>
        <w:adjustRightInd/>
        <w:snapToGrid/>
        <w:spacing w:line="240" w:lineRule="auto"/>
        <w:ind w:firstLine="420"/>
        <w:textAlignment w:val="auto"/>
      </w:pPr>
      <w:r>
        <w:rPr>
          <w:rFonts w:hint="eastAsia" w:hAnsi="宋体" w:cs="宋体"/>
          <w:szCs w:val="21"/>
        </w:rPr>
        <w:t>——本次为第一次修订。</w:t>
      </w:r>
    </w:p>
    <w:p>
      <w:pPr>
        <w:pStyle w:val="58"/>
        <w:ind w:firstLine="420"/>
        <w:sectPr>
          <w:pgSz w:w="11906" w:h="16838"/>
          <w:pgMar w:top="567" w:right="1134" w:bottom="1134" w:left="1134" w:header="1418" w:footer="1134" w:gutter="284"/>
          <w:pgNumType w:fmt="upperRoman"/>
          <w:cols w:space="425" w:num="1"/>
          <w:formProt w:val="0"/>
          <w:docGrid w:type="lines" w:linePitch="312" w:charSpace="0"/>
        </w:sectPr>
      </w:pPr>
      <w:bookmarkStart w:id="110" w:name="_GoBack"/>
      <w:bookmarkEnd w:id="110"/>
    </w:p>
    <w:bookmarkEnd w:id="23"/>
    <w:p>
      <w:pPr>
        <w:spacing w:line="20" w:lineRule="exact"/>
        <w:jc w:val="center"/>
        <w:rPr>
          <w:rFonts w:ascii="黑体" w:hAnsi="黑体" w:eastAsia="黑体"/>
          <w:sz w:val="32"/>
          <w:szCs w:val="32"/>
        </w:rPr>
      </w:pPr>
      <w:bookmarkStart w:id="24" w:name="BookMark4"/>
    </w:p>
    <w:p>
      <w:pPr>
        <w:spacing w:line="20" w:lineRule="exact"/>
        <w:jc w:val="center"/>
        <w:rPr>
          <w:rFonts w:ascii="黑体" w:hAnsi="黑体" w:eastAsia="黑体"/>
          <w:sz w:val="32"/>
          <w:szCs w:val="32"/>
        </w:rPr>
      </w:pPr>
    </w:p>
    <w:sdt>
      <w:sdtPr>
        <w:tag w:val="NEW_STAND_NAME"/>
        <w:id w:val="595910757"/>
        <w:lock w:val="sdtLocked"/>
        <w:placeholder>
          <w:docPart w:val="0B9AC1DAF4D94C6BB6F8661462FD8D92"/>
        </w:placeholder>
      </w:sdtPr>
      <w:sdtContent>
        <w:p>
          <w:pPr>
            <w:pStyle w:val="179"/>
            <w:spacing w:beforeLines="182" w:afterLines="220"/>
          </w:pPr>
          <w:bookmarkStart w:id="25" w:name="NEW_STAND_NAME"/>
          <w:r>
            <w:rPr>
              <w:rFonts w:hint="eastAsia"/>
              <w:lang w:val="en-US" w:eastAsia="zh-CN"/>
            </w:rPr>
            <w:t>预拌混凝土绿色生产管理技术</w:t>
          </w:r>
          <w:r>
            <w:rPr>
              <w:rFonts w:hint="eastAsia"/>
            </w:rPr>
            <w:t>规程</w:t>
          </w:r>
        </w:p>
      </w:sdtContent>
    </w:sdt>
    <w:bookmarkEnd w:id="25"/>
    <w:p>
      <w:pPr>
        <w:pStyle w:val="106"/>
        <w:spacing w:before="312" w:after="312"/>
      </w:pPr>
      <w:bookmarkStart w:id="26" w:name="_Toc26986771"/>
      <w:bookmarkStart w:id="27" w:name="_Toc26986530"/>
      <w:bookmarkStart w:id="28" w:name="_Toc26648465"/>
      <w:bookmarkStart w:id="29" w:name="_Toc24884218"/>
      <w:bookmarkStart w:id="30" w:name="_Toc26718930"/>
      <w:bookmarkStart w:id="31" w:name="_Toc17233333"/>
      <w:bookmarkStart w:id="32" w:name="_Toc17233325"/>
      <w:bookmarkStart w:id="33" w:name="_Toc14539"/>
      <w:bookmarkStart w:id="34" w:name="_Toc24884211"/>
      <w:r>
        <w:rPr>
          <w:rFonts w:hint="eastAsia"/>
        </w:rPr>
        <w:t>范围</w:t>
      </w:r>
      <w:bookmarkEnd w:id="26"/>
      <w:bookmarkEnd w:id="27"/>
      <w:bookmarkEnd w:id="28"/>
      <w:bookmarkEnd w:id="29"/>
      <w:bookmarkEnd w:id="30"/>
      <w:bookmarkEnd w:id="31"/>
      <w:bookmarkEnd w:id="32"/>
      <w:bookmarkEnd w:id="33"/>
      <w:bookmarkEnd w:id="34"/>
    </w:p>
    <w:p>
      <w:pPr>
        <w:numPr>
          <w:ilvl w:val="0"/>
          <w:numId w:val="0"/>
        </w:numPr>
        <w:spacing w:line="500" w:lineRule="exact"/>
        <w:ind w:left="425"/>
        <w:rPr>
          <w:rFonts w:ascii="宋体" w:hAnsi="Times New Roman"/>
          <w:kern w:val="0"/>
          <w:szCs w:val="20"/>
        </w:rPr>
      </w:pPr>
      <w:bookmarkStart w:id="35" w:name="_Toc17233326"/>
      <w:bookmarkStart w:id="36" w:name="_Toc17233334"/>
      <w:bookmarkStart w:id="37" w:name="_Toc24884212"/>
      <w:bookmarkStart w:id="38" w:name="_Toc26648466"/>
      <w:bookmarkStart w:id="39" w:name="_Toc24884219"/>
      <w:r>
        <w:rPr>
          <w:rFonts w:hint="eastAsia" w:ascii="宋体" w:hAnsi="Times New Roman"/>
          <w:kern w:val="0"/>
          <w:szCs w:val="20"/>
        </w:rPr>
        <w:t>本规程适用于江苏省预拌混凝土绿色生产及管理。</w:t>
      </w:r>
    </w:p>
    <w:p>
      <w:pPr>
        <w:pStyle w:val="58"/>
        <w:ind w:firstLine="420"/>
      </w:pPr>
      <w:r>
        <w:rPr>
          <w:rFonts w:hint="eastAsia" w:ascii="宋体" w:hAnsi="Times New Roman"/>
          <w:kern w:val="0"/>
          <w:szCs w:val="20"/>
        </w:rPr>
        <w:t>预拌混凝土绿色生产及管理除应</w:t>
      </w:r>
      <w:r>
        <w:rPr>
          <w:rFonts w:hint="eastAsia"/>
          <w:kern w:val="0"/>
          <w:szCs w:val="20"/>
          <w:lang w:val="en-US" w:eastAsia="zh-CN"/>
        </w:rPr>
        <w:t>执行</w:t>
      </w:r>
      <w:r>
        <w:rPr>
          <w:rFonts w:hint="eastAsia" w:ascii="宋体" w:hAnsi="Times New Roman"/>
          <w:kern w:val="0"/>
          <w:szCs w:val="20"/>
        </w:rPr>
        <w:t>本规程外，</w:t>
      </w:r>
      <w:r>
        <w:rPr>
          <w:rFonts w:hint="eastAsia"/>
          <w:kern w:val="0"/>
          <w:szCs w:val="20"/>
          <w:lang w:val="en-US" w:eastAsia="zh-CN"/>
        </w:rPr>
        <w:t>尚</w:t>
      </w:r>
      <w:r>
        <w:rPr>
          <w:rFonts w:hint="eastAsia" w:ascii="宋体" w:hAnsi="Times New Roman"/>
          <w:kern w:val="0"/>
          <w:szCs w:val="20"/>
        </w:rPr>
        <w:t>应符合国家和江苏省现行有关标准的规定。</w:t>
      </w:r>
    </w:p>
    <w:p>
      <w:pPr>
        <w:pStyle w:val="106"/>
        <w:spacing w:before="312" w:after="312"/>
      </w:pPr>
      <w:bookmarkStart w:id="40" w:name="_Toc9829"/>
      <w:bookmarkStart w:id="41" w:name="_Toc26986772"/>
      <w:bookmarkStart w:id="42" w:name="_Toc26718931"/>
      <w:bookmarkStart w:id="43" w:name="_Toc26986531"/>
      <w:r>
        <w:rPr>
          <w:rFonts w:hint="eastAsia"/>
        </w:rPr>
        <w:t>规范性引用文件</w:t>
      </w:r>
      <w:bookmarkEnd w:id="35"/>
      <w:bookmarkEnd w:id="36"/>
      <w:bookmarkEnd w:id="37"/>
      <w:bookmarkEnd w:id="38"/>
      <w:bookmarkEnd w:id="39"/>
      <w:bookmarkEnd w:id="40"/>
      <w:bookmarkEnd w:id="41"/>
      <w:bookmarkEnd w:id="42"/>
      <w:bookmarkEnd w:id="43"/>
    </w:p>
    <w:sdt>
      <w:sdtPr>
        <w:rPr>
          <w:rFonts w:hint="eastAsia"/>
        </w:rPr>
        <w:id w:val="715848253"/>
        <w:placeholder>
          <w:docPart w:val="B61532C5FF6E4BFBA109D27D2165E62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8"/>
        <w:ind w:firstLine="420"/>
      </w:pPr>
      <w:r>
        <w:rPr>
          <w:rFonts w:hint="eastAsia"/>
        </w:rPr>
        <w:t xml:space="preserve">GB 50119  《混凝土外加剂应用技术规范》  </w:t>
      </w:r>
    </w:p>
    <w:p>
      <w:pPr>
        <w:pStyle w:val="58"/>
        <w:ind w:firstLine="420"/>
      </w:pPr>
      <w:r>
        <w:rPr>
          <w:rFonts w:hint="eastAsia"/>
        </w:rPr>
        <w:t>GB 50164  《混凝土质量控制标准》</w:t>
      </w:r>
    </w:p>
    <w:p>
      <w:pPr>
        <w:pStyle w:val="58"/>
        <w:ind w:firstLine="420"/>
      </w:pPr>
      <w:r>
        <w:rPr>
          <w:rFonts w:hint="eastAsia"/>
        </w:rPr>
        <w:t>GB/T 51003  《矿物掺合料应用技术规范》</w:t>
      </w:r>
    </w:p>
    <w:p>
      <w:pPr>
        <w:pStyle w:val="58"/>
        <w:ind w:firstLine="420"/>
      </w:pPr>
      <w:r>
        <w:rPr>
          <w:rFonts w:hint="eastAsia"/>
        </w:rPr>
        <w:t>GB/T 51366  《建筑碳排放计算标准》</w:t>
      </w:r>
    </w:p>
    <w:p>
      <w:pPr>
        <w:pStyle w:val="58"/>
        <w:ind w:firstLine="420"/>
      </w:pPr>
      <w:r>
        <w:rPr>
          <w:rFonts w:hint="eastAsia"/>
        </w:rPr>
        <w:t>GB 175  《通用硅酸盐水泥》</w:t>
      </w:r>
    </w:p>
    <w:p>
      <w:pPr>
        <w:pStyle w:val="58"/>
        <w:ind w:firstLine="420"/>
      </w:pPr>
      <w:r>
        <w:rPr>
          <w:rFonts w:hint="eastAsia"/>
        </w:rPr>
        <w:t>GB 3095  《环境空气质量标准》</w:t>
      </w:r>
    </w:p>
    <w:p>
      <w:pPr>
        <w:pStyle w:val="58"/>
        <w:ind w:firstLine="420"/>
      </w:pPr>
      <w:r>
        <w:rPr>
          <w:rFonts w:hint="eastAsia"/>
        </w:rPr>
        <w:t>GB 3096  《声环境质量标准》</w:t>
      </w:r>
    </w:p>
    <w:p>
      <w:pPr>
        <w:pStyle w:val="58"/>
        <w:ind w:firstLine="420"/>
      </w:pPr>
      <w:r>
        <w:rPr>
          <w:rFonts w:hint="eastAsia"/>
        </w:rPr>
        <w:t>GB 4915  《水泥工业大气污染物排放标准》</w:t>
      </w:r>
    </w:p>
    <w:p>
      <w:pPr>
        <w:pStyle w:val="58"/>
        <w:ind w:firstLine="420"/>
      </w:pPr>
      <w:r>
        <w:rPr>
          <w:rFonts w:hint="eastAsia"/>
        </w:rPr>
        <w:t>GB 8076  《混凝土外加剂》</w:t>
      </w:r>
    </w:p>
    <w:p>
      <w:pPr>
        <w:pStyle w:val="58"/>
        <w:ind w:firstLine="420"/>
      </w:pPr>
      <w:r>
        <w:rPr>
          <w:rFonts w:hint="eastAsia"/>
        </w:rPr>
        <w:t>GB/T 9142  《建筑施工机械与设备 混凝土搅拌机》</w:t>
      </w:r>
    </w:p>
    <w:p>
      <w:pPr>
        <w:pStyle w:val="58"/>
        <w:ind w:firstLine="420"/>
      </w:pPr>
      <w:r>
        <w:rPr>
          <w:rFonts w:hint="eastAsia"/>
        </w:rPr>
        <w:t>GB/T 10171  《建筑施工机械与设备 混凝土搅拌站（楼）》</w:t>
      </w:r>
    </w:p>
    <w:p>
      <w:pPr>
        <w:pStyle w:val="58"/>
        <w:ind w:firstLine="420"/>
      </w:pPr>
      <w:r>
        <w:rPr>
          <w:rFonts w:hint="eastAsia"/>
        </w:rPr>
        <w:t>GB 12348  《工业企业厂界环境噪声排放标准》</w:t>
      </w:r>
    </w:p>
    <w:p>
      <w:pPr>
        <w:pStyle w:val="58"/>
        <w:ind w:firstLine="420"/>
      </w:pPr>
      <w:r>
        <w:rPr>
          <w:rFonts w:hint="eastAsia"/>
        </w:rPr>
        <w:t>GB/T 14902  《预拌混凝土》</w:t>
      </w:r>
    </w:p>
    <w:p>
      <w:pPr>
        <w:pStyle w:val="58"/>
        <w:ind w:firstLine="420"/>
      </w:pPr>
      <w:r>
        <w:rPr>
          <w:rFonts w:hint="eastAsia"/>
        </w:rPr>
        <w:t>GB/T 19001  《质量管理体系 要求》</w:t>
      </w:r>
    </w:p>
    <w:p>
      <w:pPr>
        <w:pStyle w:val="58"/>
        <w:ind w:firstLine="420"/>
        <w:rPr>
          <w:rFonts w:hint="eastAsia"/>
        </w:rPr>
      </w:pPr>
      <w:r>
        <w:rPr>
          <w:rFonts w:hint="eastAsia"/>
        </w:rPr>
        <w:t>GB/T 24001  《环境管理体系 要求及使用指南》</w:t>
      </w:r>
    </w:p>
    <w:p>
      <w:pPr>
        <w:pStyle w:val="58"/>
        <w:ind w:firstLine="420"/>
        <w:rPr>
          <w:rFonts w:hint="eastAsia"/>
        </w:rPr>
      </w:pPr>
      <w:r>
        <w:rPr>
          <w:rFonts w:hint="eastAsia"/>
        </w:rPr>
        <w:t>GB/T 25176</w:t>
      </w:r>
      <w:r>
        <w:rPr>
          <w:rFonts w:hint="eastAsia"/>
          <w:lang w:val="en-US" w:eastAsia="zh-CN"/>
        </w:rPr>
        <w:t xml:space="preserve">  </w:t>
      </w:r>
      <w:r>
        <w:rPr>
          <w:rFonts w:hint="eastAsia"/>
        </w:rPr>
        <w:t>《混凝土和砂浆用再生细骨料》</w:t>
      </w:r>
    </w:p>
    <w:p>
      <w:pPr>
        <w:pStyle w:val="58"/>
        <w:ind w:firstLine="420"/>
        <w:rPr>
          <w:rFonts w:hint="eastAsia"/>
        </w:rPr>
      </w:pPr>
      <w:r>
        <w:rPr>
          <w:rFonts w:hint="eastAsia"/>
        </w:rPr>
        <w:t>GB/T 25177</w:t>
      </w:r>
      <w:r>
        <w:rPr>
          <w:rFonts w:hint="eastAsia"/>
          <w:lang w:val="en-US" w:eastAsia="zh-CN"/>
        </w:rPr>
        <w:t xml:space="preserve">  </w:t>
      </w:r>
      <w:r>
        <w:rPr>
          <w:rFonts w:hint="eastAsia"/>
        </w:rPr>
        <w:t>《混凝土用再生粗骨料》</w:t>
      </w:r>
    </w:p>
    <w:p>
      <w:pPr>
        <w:pStyle w:val="58"/>
        <w:ind w:firstLine="420"/>
      </w:pPr>
      <w:r>
        <w:rPr>
          <w:rFonts w:hint="eastAsia"/>
        </w:rPr>
        <w:t>GB 36888  《预拌混凝土单位产品能源消耗限额》</w:t>
      </w:r>
    </w:p>
    <w:p>
      <w:pPr>
        <w:pStyle w:val="58"/>
        <w:ind w:firstLine="420"/>
      </w:pPr>
      <w:r>
        <w:rPr>
          <w:rFonts w:hint="eastAsia"/>
        </w:rPr>
        <w:t>GB/T 39701  《粉煤灰中铵离子含量的限量及检验方法》</w:t>
      </w:r>
    </w:p>
    <w:p>
      <w:pPr>
        <w:pStyle w:val="58"/>
        <w:ind w:firstLine="420"/>
      </w:pPr>
      <w:r>
        <w:rPr>
          <w:rFonts w:hint="eastAsia"/>
        </w:rPr>
        <w:t>JGJ 52  《普通混凝土用砂、石质量及检验方法标准》</w:t>
      </w:r>
    </w:p>
    <w:p>
      <w:pPr>
        <w:pStyle w:val="58"/>
        <w:ind w:firstLine="420"/>
      </w:pPr>
      <w:r>
        <w:rPr>
          <w:rFonts w:hint="eastAsia"/>
        </w:rPr>
        <w:t>JGJ 63  《混凝土拌合用水》</w:t>
      </w:r>
    </w:p>
    <w:p>
      <w:pPr>
        <w:pStyle w:val="58"/>
        <w:ind w:firstLine="420"/>
      </w:pPr>
      <w:r>
        <w:rPr>
          <w:rFonts w:hint="eastAsia"/>
        </w:rPr>
        <w:t>JGJ/T 318  《石灰石粉在混凝土中应用技术规程》</w:t>
      </w:r>
    </w:p>
    <w:p>
      <w:pPr>
        <w:pStyle w:val="58"/>
        <w:ind w:firstLine="420"/>
        <w:rPr>
          <w:rFonts w:hint="eastAsia"/>
        </w:rPr>
      </w:pPr>
      <w:r>
        <w:rPr>
          <w:rFonts w:hint="eastAsia"/>
        </w:rPr>
        <w:t>JGJ/T 328  《预拌混凝土绿色生产及管理技术规程》</w:t>
      </w:r>
    </w:p>
    <w:p>
      <w:pPr>
        <w:pStyle w:val="58"/>
        <w:ind w:firstLine="420"/>
        <w:rPr>
          <w:rFonts w:hint="eastAsia"/>
        </w:rPr>
      </w:pPr>
      <w:r>
        <w:rPr>
          <w:rFonts w:hint="eastAsia"/>
        </w:rPr>
        <w:t>JG/T 223  《聚羧酸系高性能减水剂》</w:t>
      </w:r>
    </w:p>
    <w:p>
      <w:pPr>
        <w:pStyle w:val="58"/>
        <w:ind w:firstLine="420"/>
      </w:pPr>
      <w:r>
        <w:rPr>
          <w:rFonts w:hint="eastAsia"/>
        </w:rPr>
        <w:t>JG/T 486  《混凝土用复合掺合料》</w:t>
      </w:r>
    </w:p>
    <w:p>
      <w:pPr>
        <w:pStyle w:val="58"/>
        <w:ind w:firstLine="420"/>
      </w:pPr>
      <w:r>
        <w:rPr>
          <w:rFonts w:hint="eastAsia"/>
        </w:rPr>
        <w:t>JC/T 2647  《预拌混凝土生产企业废水回收利用规范》</w:t>
      </w:r>
    </w:p>
    <w:p>
      <w:pPr>
        <w:pStyle w:val="58"/>
        <w:ind w:firstLine="420"/>
      </w:pPr>
      <w:r>
        <w:rPr>
          <w:rFonts w:hint="eastAsia"/>
        </w:rPr>
        <w:t>DB32/T 3696  《江苏省高性能混凝土应用技术规程》</w:t>
      </w:r>
    </w:p>
    <w:p>
      <w:pPr>
        <w:pStyle w:val="106"/>
        <w:spacing w:before="312" w:after="312"/>
      </w:pPr>
      <w:bookmarkStart w:id="44" w:name="_Toc16087"/>
      <w:r>
        <w:rPr>
          <w:rFonts w:hint="eastAsia"/>
          <w:szCs w:val="21"/>
        </w:rPr>
        <w:t>术语和定义</w:t>
      </w:r>
      <w:bookmarkEnd w:id="44"/>
    </w:p>
    <w:sdt>
      <w:sdtPr>
        <w:id w:val="-1909835108"/>
        <w:placeholder>
          <w:docPart w:val="CCC8D6C67D014AA0ADC4A6423145A28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8"/>
            <w:ind w:firstLine="420"/>
          </w:pPr>
          <w:bookmarkStart w:id="45" w:name="_Toc26986532"/>
          <w:bookmarkEnd w:id="45"/>
          <w:r>
            <w:t>下列术语和定义适用于本文件。</w:t>
          </w:r>
        </w:p>
      </w:sdtContent>
    </w:sdt>
    <w:p>
      <w:pPr>
        <w:pStyle w:val="225"/>
        <w:ind w:left="420" w:hanging="420" w:hangingChars="200"/>
        <w:rPr>
          <w:rFonts w:ascii="黑体" w:hAnsi="黑体" w:eastAsia="黑体"/>
        </w:rPr>
      </w:pPr>
      <w:r>
        <w:rPr>
          <w:rFonts w:ascii="黑体" w:hAnsi="黑体" w:eastAsia="黑体"/>
        </w:rPr>
        <w:br w:type="textWrapping"/>
      </w:r>
      <w:r>
        <w:rPr>
          <w:rFonts w:hint="eastAsia" w:ascii="黑体" w:hAnsi="黑体" w:eastAsia="黑体"/>
        </w:rPr>
        <w:t>预拌混凝土绿色生产 green production of ready-mixed concrete</w:t>
      </w:r>
    </w:p>
    <w:p>
      <w:pPr>
        <w:pStyle w:val="58"/>
        <w:ind w:firstLine="420"/>
      </w:pPr>
      <w:r>
        <w:rPr>
          <w:rFonts w:hint="eastAsia"/>
        </w:rPr>
        <w:t>以管理和技术为手段，在保证质量、安全的前提下，对</w:t>
      </w:r>
      <w:r>
        <w:rPr>
          <w:rFonts w:hint="eastAsia"/>
          <w:lang w:val="en-US" w:eastAsia="zh-CN"/>
        </w:rPr>
        <w:t>混凝土</w:t>
      </w:r>
      <w:r>
        <w:rPr>
          <w:rFonts w:hint="eastAsia"/>
        </w:rPr>
        <w:t>生产全过程实施控制，最大限度地实现资源节约和环境保护并提高混凝土耐久性的活动。</w:t>
      </w:r>
    </w:p>
    <w:p>
      <w:pPr>
        <w:pStyle w:val="225"/>
        <w:ind w:left="420" w:hanging="420" w:hangingChars="200"/>
        <w:rPr>
          <w:rFonts w:ascii="黑体" w:hAnsi="黑体" w:eastAsia="黑体"/>
        </w:rPr>
      </w:pPr>
      <w:r>
        <w:rPr>
          <w:rFonts w:ascii="黑体" w:hAnsi="黑体" w:eastAsia="黑体"/>
        </w:rPr>
        <w:br w:type="textWrapping"/>
      </w:r>
      <w:r>
        <w:rPr>
          <w:rFonts w:hint="eastAsia" w:ascii="黑体" w:hAnsi="黑体" w:eastAsia="黑体"/>
        </w:rPr>
        <w:t>生产排放物 production emissions</w:t>
      </w:r>
    </w:p>
    <w:p>
      <w:pPr>
        <w:pStyle w:val="58"/>
        <w:ind w:firstLine="420"/>
      </w:pPr>
      <w:bookmarkStart w:id="46" w:name="_Toc144411351"/>
      <w:r>
        <w:rPr>
          <w:rFonts w:hint="eastAsia"/>
        </w:rPr>
        <w:t>预拌混凝土生产过程中产生的生产性粉尘、废水、废浆和固体废弃物等</w:t>
      </w:r>
      <w:bookmarkEnd w:id="46"/>
      <w:r>
        <w:rPr>
          <w:rFonts w:hint="eastAsia"/>
        </w:rPr>
        <w:t>。</w:t>
      </w:r>
    </w:p>
    <w:p>
      <w:pPr>
        <w:pStyle w:val="225"/>
        <w:ind w:left="420" w:hanging="420" w:hangingChars="200"/>
        <w:rPr>
          <w:rFonts w:ascii="黑体" w:hAnsi="黑体" w:eastAsia="黑体"/>
        </w:rPr>
      </w:pPr>
      <w:r>
        <w:rPr>
          <w:rFonts w:ascii="黑体" w:hAnsi="黑体" w:eastAsia="黑体"/>
        </w:rPr>
        <w:br w:type="textWrapping"/>
      </w:r>
      <w:r>
        <w:rPr>
          <w:rFonts w:hint="eastAsia" w:ascii="黑体" w:hAnsi="黑体" w:eastAsia="黑体" w:cs="黑体"/>
        </w:rPr>
        <w:t>废浆 industrial waste mud</w:t>
      </w:r>
    </w:p>
    <w:p>
      <w:pPr>
        <w:pStyle w:val="58"/>
        <w:ind w:firstLine="420"/>
      </w:pPr>
      <w:r>
        <w:rPr>
          <w:rFonts w:hint="eastAsia" w:hAnsi="宋体" w:cs="宋体"/>
          <w:szCs w:val="21"/>
        </w:rPr>
        <w:t>清洗混凝土搅拌设备、运输设备</w:t>
      </w:r>
      <w:r>
        <w:rPr>
          <w:rFonts w:hint="eastAsia" w:hAnsi="宋体" w:cs="宋体"/>
          <w:szCs w:val="21"/>
          <w:lang w:eastAsia="zh-CN"/>
        </w:rPr>
        <w:t>、</w:t>
      </w:r>
      <w:r>
        <w:rPr>
          <w:rFonts w:hint="eastAsia" w:hAnsi="宋体" w:cs="宋体"/>
          <w:szCs w:val="21"/>
          <w:lang w:val="en-US" w:eastAsia="zh-CN"/>
        </w:rPr>
        <w:t>泵送设备</w:t>
      </w:r>
      <w:r>
        <w:rPr>
          <w:rFonts w:hint="eastAsia" w:hAnsi="宋体" w:cs="宋体"/>
          <w:szCs w:val="21"/>
        </w:rPr>
        <w:t>和搅拌站（楼）出料位置地面所形成的含有较多固体颗粒的液体</w:t>
      </w:r>
      <w:r>
        <w:rPr>
          <w:rFonts w:hint="eastAsia"/>
        </w:rPr>
        <w:t>。</w:t>
      </w:r>
    </w:p>
    <w:p>
      <w:pPr>
        <w:pStyle w:val="225"/>
        <w:ind w:left="420" w:hanging="420" w:hangingChars="200"/>
        <w:rPr>
          <w:rFonts w:ascii="黑体" w:hAnsi="黑体" w:eastAsia="黑体"/>
        </w:rPr>
      </w:pPr>
      <w:r>
        <w:rPr>
          <w:rFonts w:ascii="黑体" w:hAnsi="黑体" w:eastAsia="黑体"/>
        </w:rPr>
        <w:br w:type="textWrapping"/>
      </w:r>
      <w:r>
        <w:rPr>
          <w:rFonts w:hint="eastAsia" w:ascii="黑体" w:hAnsi="黑体" w:eastAsia="黑体"/>
        </w:rPr>
        <w:t>生产性粉尘 industrial dust</w:t>
      </w:r>
    </w:p>
    <w:p>
      <w:pPr>
        <w:pStyle w:val="58"/>
        <w:ind w:firstLine="420"/>
      </w:pPr>
      <w:r>
        <w:rPr>
          <w:rFonts w:hint="eastAsia" w:hAnsi="宋体" w:cs="宋体"/>
          <w:szCs w:val="21"/>
        </w:rPr>
        <w:t>预拌混凝土生产过程中产生的总悬浮颗粒物、可吸入颗粒物和细颗粒物的总称</w:t>
      </w:r>
      <w:r>
        <w:rPr>
          <w:rFonts w:hint="eastAsia"/>
        </w:rPr>
        <w:t>。</w:t>
      </w:r>
    </w:p>
    <w:p>
      <w:pPr>
        <w:pStyle w:val="225"/>
        <w:ind w:left="420" w:hanging="420" w:hangingChars="200"/>
        <w:rPr>
          <w:rFonts w:ascii="黑体" w:hAnsi="黑体" w:eastAsia="黑体"/>
        </w:rPr>
      </w:pPr>
      <w:r>
        <w:rPr>
          <w:rFonts w:ascii="黑体" w:hAnsi="黑体" w:eastAsia="黑体"/>
        </w:rPr>
        <w:br w:type="textWrapping"/>
      </w:r>
      <w:r>
        <w:rPr>
          <w:rFonts w:hint="eastAsia" w:ascii="黑体" w:eastAsia="黑体"/>
          <w:szCs w:val="21"/>
        </w:rPr>
        <w:t>厂界 factory border</w:t>
      </w:r>
    </w:p>
    <w:p>
      <w:pPr>
        <w:pStyle w:val="58"/>
        <w:ind w:firstLine="420"/>
      </w:pPr>
      <w:r>
        <w:rPr>
          <w:rFonts w:hint="eastAsia" w:hAnsi="宋体" w:cs="宋体"/>
          <w:szCs w:val="21"/>
        </w:rPr>
        <w:t>以法律文书确定的业主拥有使用权或所有权的场所或建筑物的边界</w:t>
      </w:r>
      <w:r>
        <w:rPr>
          <w:rFonts w:hint="eastAsia"/>
        </w:rPr>
        <w:t>。</w:t>
      </w:r>
    </w:p>
    <w:p>
      <w:pPr>
        <w:pStyle w:val="225"/>
        <w:ind w:left="420" w:hanging="420" w:hangingChars="200"/>
        <w:rPr>
          <w:rFonts w:ascii="黑体" w:hAnsi="黑体" w:eastAsia="黑体"/>
        </w:rPr>
      </w:pPr>
      <w:r>
        <w:rPr>
          <w:rFonts w:ascii="黑体" w:hAnsi="黑体" w:eastAsia="黑体"/>
        </w:rPr>
        <w:br w:type="textWrapping"/>
      </w:r>
      <w:r>
        <w:rPr>
          <w:rFonts w:hint="eastAsia" w:ascii="黑体" w:eastAsia="黑体"/>
          <w:szCs w:val="21"/>
        </w:rPr>
        <w:t>预拌混凝土绿色设计 green design of ready-mixed concrete</w:t>
      </w:r>
    </w:p>
    <w:p>
      <w:pPr>
        <w:pStyle w:val="58"/>
        <w:ind w:firstLine="420"/>
      </w:pPr>
      <w:r>
        <w:rPr>
          <w:rFonts w:hint="eastAsia" w:hAnsi="宋体" w:cs="宋体"/>
          <w:szCs w:val="21"/>
        </w:rPr>
        <w:t>按绿色高性能混凝土的设计理念，以实现低碳、低污染、高耐久为目的，进行预拌混凝土原材料优选和配合比设计</w:t>
      </w:r>
      <w:r>
        <w:rPr>
          <w:rFonts w:hint="eastAsia"/>
        </w:rPr>
        <w:t>。</w:t>
      </w:r>
    </w:p>
    <w:p>
      <w:pPr>
        <w:pStyle w:val="225"/>
        <w:ind w:left="420" w:hanging="420" w:hangingChars="200"/>
        <w:rPr>
          <w:rFonts w:ascii="黑体" w:hAnsi="黑体" w:eastAsia="黑体"/>
        </w:rPr>
      </w:pPr>
      <w:r>
        <w:rPr>
          <w:rFonts w:ascii="黑体" w:hAnsi="黑体" w:eastAsia="黑体"/>
        </w:rPr>
        <w:br w:type="textWrapping"/>
      </w:r>
      <w:r>
        <w:rPr>
          <w:rFonts w:hint="eastAsia" w:ascii="黑体" w:eastAsia="黑体"/>
          <w:szCs w:val="21"/>
        </w:rPr>
        <w:t>单位产品碳排放量 carbon emissions per unit of product</w:t>
      </w:r>
    </w:p>
    <w:p>
      <w:pPr>
        <w:pStyle w:val="58"/>
        <w:ind w:firstLine="420"/>
      </w:pPr>
      <w:r>
        <w:rPr>
          <w:rFonts w:hint="eastAsia" w:hAnsi="宋体" w:cs="宋体"/>
          <w:szCs w:val="21"/>
        </w:rPr>
        <w:t>生产1立方米预拌混凝土所消耗原材料、能源的隐含碳排放，以二氧化碳当量表示</w:t>
      </w:r>
      <w:r>
        <w:rPr>
          <w:rFonts w:hint="eastAsia"/>
        </w:rPr>
        <w:t>。</w:t>
      </w:r>
    </w:p>
    <w:p>
      <w:pPr>
        <w:pStyle w:val="106"/>
        <w:spacing w:before="312" w:after="312"/>
      </w:pPr>
      <w:bookmarkStart w:id="47" w:name="_Toc26286"/>
      <w:r>
        <w:rPr>
          <w:rFonts w:hint="eastAsia"/>
        </w:rPr>
        <w:t>基本规定</w:t>
      </w:r>
      <w:bookmarkEnd w:id="47"/>
    </w:p>
    <w:p>
      <w:pPr>
        <w:pStyle w:val="164"/>
      </w:pPr>
      <w:r>
        <w:rPr>
          <w:rFonts w:hint="eastAsia"/>
        </w:rPr>
        <w:t>预拌混凝土绿色生产及管理应符合节能减排、绿色环保及可持续发展的要求。</w:t>
      </w:r>
    </w:p>
    <w:p>
      <w:pPr>
        <w:pStyle w:val="164"/>
      </w:pPr>
      <w:r>
        <w:rPr>
          <w:rFonts w:hint="eastAsia"/>
          <w:lang w:val="en-US" w:eastAsia="zh-CN"/>
        </w:rPr>
        <w:t>新建</w:t>
      </w:r>
      <w:r>
        <w:rPr>
          <w:rFonts w:hint="eastAsia"/>
        </w:rPr>
        <w:t>预拌混凝土企业选址应符合规划、建设和环境保护要求。</w:t>
      </w:r>
    </w:p>
    <w:p>
      <w:pPr>
        <w:pStyle w:val="164"/>
      </w:pPr>
      <w:r>
        <w:rPr>
          <w:rFonts w:hint="eastAsia"/>
        </w:rPr>
        <w:t>新、扩建预拌混凝土企业应在建设前进行安全环境影响评价。</w:t>
      </w:r>
    </w:p>
    <w:p>
      <w:pPr>
        <w:pStyle w:val="164"/>
      </w:pPr>
      <w:r>
        <w:rPr>
          <w:rFonts w:hint="eastAsia"/>
        </w:rPr>
        <w:t>预拌混凝土企业在新、改、扩建时，应严格将环保设施与生产设施同时设计、同时施工、同时投产。</w:t>
      </w:r>
    </w:p>
    <w:p>
      <w:pPr>
        <w:pStyle w:val="164"/>
      </w:pPr>
      <w:r>
        <w:rPr>
          <w:rFonts w:hint="eastAsia"/>
        </w:rPr>
        <w:t>混凝土绿色生产的内容应纳入</w:t>
      </w:r>
      <w:r>
        <w:rPr>
          <w:rFonts w:hint="eastAsia"/>
          <w:lang w:val="en-US" w:eastAsia="zh-CN"/>
        </w:rPr>
        <w:t>企业</w:t>
      </w:r>
      <w:r>
        <w:rPr>
          <w:rFonts w:hint="eastAsia"/>
        </w:rPr>
        <w:t>内部管理体系文件，指定专人负责混凝土绿色生产管理工作，并定期组织相关的业务培训。</w:t>
      </w:r>
    </w:p>
    <w:p>
      <w:pPr>
        <w:pStyle w:val="164"/>
      </w:pPr>
      <w:r>
        <w:rPr>
          <w:rFonts w:hint="eastAsia"/>
        </w:rPr>
        <w:t>生产性粉尘、噪声、固体废弃物排放宜定期进行检测，检测结果应符合相关标准要求。</w:t>
      </w:r>
    </w:p>
    <w:p>
      <w:pPr>
        <w:pStyle w:val="164"/>
      </w:pPr>
      <w:r>
        <w:rPr>
          <w:rFonts w:hint="eastAsia"/>
        </w:rPr>
        <w:t>预拌混凝土</w:t>
      </w:r>
      <w:r>
        <w:rPr>
          <w:rFonts w:hint="eastAsia"/>
          <w:lang w:val="en-US" w:eastAsia="zh-CN"/>
        </w:rPr>
        <w:t>生产区域</w:t>
      </w:r>
      <w:r>
        <w:rPr>
          <w:rFonts w:hint="eastAsia"/>
        </w:rPr>
        <w:t>应通过封闭、隔离、喷淋等降尘措施减少生产性粉尘排放。</w:t>
      </w:r>
    </w:p>
    <w:p>
      <w:pPr>
        <w:pStyle w:val="164"/>
      </w:pPr>
      <w:r>
        <w:rPr>
          <w:rFonts w:hint="eastAsia"/>
        </w:rPr>
        <w:t>预拌混凝土企业应配备相应的清洗设备，保持设备设施、运输车辆的整洁，同时将清洗水处理、回收利用。</w:t>
      </w:r>
    </w:p>
    <w:p>
      <w:pPr>
        <w:pStyle w:val="164"/>
      </w:pPr>
      <w:r>
        <w:rPr>
          <w:rFonts w:hint="eastAsia"/>
        </w:rPr>
        <w:t>预拌混凝土企业应按照合同约定和标准规定，组织好材料、设备、运输车辆等生产资料，科学生产，合理调度。</w:t>
      </w:r>
    </w:p>
    <w:p>
      <w:pPr>
        <w:pStyle w:val="164"/>
      </w:pPr>
      <w:r>
        <w:rPr>
          <w:rFonts w:hint="eastAsia"/>
        </w:rPr>
        <w:t>预拌混凝土企业宜按照</w:t>
      </w:r>
      <w:r>
        <w:rPr>
          <w:rFonts w:hint="eastAsia"/>
          <w:lang w:val="en-US" w:eastAsia="zh-CN"/>
        </w:rPr>
        <w:t>本规程</w:t>
      </w:r>
      <w:r>
        <w:rPr>
          <w:rFonts w:hint="eastAsia"/>
        </w:rPr>
        <w:t>附录A完成预拌混凝土绿色生产评价。</w:t>
      </w:r>
    </w:p>
    <w:p>
      <w:pPr>
        <w:pStyle w:val="164"/>
      </w:pPr>
      <w:r>
        <w:rPr>
          <w:rFonts w:hint="eastAsia"/>
        </w:rPr>
        <w:t>在预拌混凝土绿色生产及管理过程中，不得向厂界以外直接排放生产废水、废浆和废弃混凝土。</w:t>
      </w:r>
    </w:p>
    <w:p>
      <w:pPr>
        <w:pStyle w:val="164"/>
      </w:pPr>
      <w:r>
        <w:rPr>
          <w:rFonts w:hint="eastAsia"/>
        </w:rPr>
        <w:t>预拌混凝土企业应按照《职业健康安全管理体系要求及使用指南》GB/T 45001建立职业健康安全管理体系。</w:t>
      </w:r>
    </w:p>
    <w:p>
      <w:pPr>
        <w:pStyle w:val="106"/>
        <w:spacing w:before="312" w:after="312"/>
      </w:pPr>
      <w:bookmarkStart w:id="48" w:name="_Toc7374"/>
      <w:r>
        <w:rPr>
          <w:rFonts w:hint="eastAsia"/>
        </w:rPr>
        <w:t>厂区建设与管理</w:t>
      </w:r>
      <w:bookmarkEnd w:id="48"/>
    </w:p>
    <w:p>
      <w:pPr>
        <w:pStyle w:val="164"/>
      </w:pPr>
      <w:bookmarkStart w:id="49" w:name="OLE_LINK21"/>
      <w:r>
        <w:rPr>
          <w:rFonts w:hint="eastAsia"/>
        </w:rPr>
        <w:t>厂区内的生产区、办公区和生活区应分区布置。</w:t>
      </w:r>
    </w:p>
    <w:p>
      <w:pPr>
        <w:pStyle w:val="164"/>
      </w:pPr>
      <w:bookmarkStart w:id="50" w:name="_Toc144411355"/>
      <w:r>
        <w:rPr>
          <w:rFonts w:hint="eastAsia"/>
        </w:rPr>
        <w:t>生产区主要扬尘点应设置收尘降尘装置，在厂区内安装环境指标在线监测与视频监控设施，并能联网传输。</w:t>
      </w:r>
      <w:bookmarkEnd w:id="50"/>
      <w:bookmarkStart w:id="51" w:name="_Toc144411356"/>
    </w:p>
    <w:bookmarkEnd w:id="51"/>
    <w:p>
      <w:pPr>
        <w:pStyle w:val="164"/>
      </w:pPr>
      <w:r>
        <w:rPr>
          <w:rFonts w:hint="eastAsia"/>
        </w:rPr>
        <w:t>生产区出入口应配备车辆清洗设施。</w:t>
      </w:r>
    </w:p>
    <w:p>
      <w:pPr>
        <w:pStyle w:val="164"/>
      </w:pPr>
      <w:r>
        <w:rPr>
          <w:rFonts w:hint="eastAsia"/>
        </w:rPr>
        <w:t>厂区道路、骨料堆场和生产作业区地面应按满足生产和运输功能要求进行硬化，硬化地面坡度与坡向应合理设计。</w:t>
      </w:r>
    </w:p>
    <w:p>
      <w:pPr>
        <w:pStyle w:val="164"/>
      </w:pPr>
      <w:r>
        <w:rPr>
          <w:rFonts w:hint="eastAsia"/>
        </w:rPr>
        <w:t>厂区内未硬化的空地应进行绿化或采取其他防止扬尘措施，且保持卫生清洁。</w:t>
      </w:r>
    </w:p>
    <w:p>
      <w:pPr>
        <w:pStyle w:val="164"/>
      </w:pPr>
      <w:r>
        <w:rPr>
          <w:rFonts w:hint="eastAsia"/>
        </w:rPr>
        <w:t>车辆通道和人行通道应分开设置，并在地面做明显标识，应设置限速限高标识。</w:t>
      </w:r>
    </w:p>
    <w:p>
      <w:pPr>
        <w:pStyle w:val="164"/>
      </w:pPr>
      <w:r>
        <w:rPr>
          <w:rFonts w:hint="eastAsia"/>
        </w:rPr>
        <w:t>厂区内应设置排水设施，并确保排水畅通，排水沟渠应用盖板覆盖，并应建有废水回收处理系统、雨水收集系统，沉淀池、搅拌池及压滤设备等作业平台应设置防护栏杆。</w:t>
      </w:r>
    </w:p>
    <w:p>
      <w:pPr>
        <w:pStyle w:val="164"/>
      </w:pPr>
      <w:r>
        <w:rPr>
          <w:rFonts w:hint="eastAsia"/>
        </w:rPr>
        <w:t>厂区内应设置封闭式生产生活废弃物存放处，分类存放，集中处理。</w:t>
      </w:r>
    </w:p>
    <w:p>
      <w:pPr>
        <w:pStyle w:val="164"/>
      </w:pPr>
      <w:r>
        <w:rPr>
          <w:rFonts w:hint="eastAsia"/>
        </w:rPr>
        <w:t>厂区内用于生产、试验、维修所涉及的油脂、气类、化学试剂等物品应按相关要求存放。</w:t>
      </w:r>
    </w:p>
    <w:p>
      <w:pPr>
        <w:pStyle w:val="164"/>
      </w:pPr>
      <w:r>
        <w:rPr>
          <w:rFonts w:hint="eastAsia"/>
        </w:rPr>
        <w:t>厂区门前道路和环境应符合环境卫生要求。</w:t>
      </w:r>
      <w:bookmarkEnd w:id="49"/>
      <w:bookmarkStart w:id="52" w:name="_Toc4310"/>
    </w:p>
    <w:bookmarkEnd w:id="52"/>
    <w:p>
      <w:pPr>
        <w:pStyle w:val="106"/>
        <w:spacing w:before="312" w:after="312"/>
      </w:pPr>
      <w:bookmarkStart w:id="53" w:name="_Toc144411357"/>
      <w:bookmarkStart w:id="54" w:name="_Toc31557"/>
      <w:bookmarkStart w:id="55" w:name="_Toc31448"/>
      <w:bookmarkStart w:id="56" w:name="_Toc11763"/>
      <w:r>
        <w:rPr>
          <w:rFonts w:hint="eastAsia"/>
        </w:rPr>
        <w:t>设备设施</w:t>
      </w:r>
      <w:bookmarkEnd w:id="53"/>
      <w:bookmarkEnd w:id="54"/>
      <w:bookmarkEnd w:id="55"/>
      <w:bookmarkEnd w:id="56"/>
    </w:p>
    <w:p>
      <w:pPr>
        <w:pStyle w:val="107"/>
        <w:spacing w:before="156" w:after="156"/>
      </w:pPr>
      <w:bookmarkStart w:id="57" w:name="_Toc27307"/>
      <w:r>
        <w:rPr>
          <w:rFonts w:hint="eastAsia"/>
        </w:rPr>
        <w:t>一般规定</w:t>
      </w:r>
      <w:bookmarkEnd w:id="57"/>
    </w:p>
    <w:p>
      <w:pPr>
        <w:pStyle w:val="167"/>
      </w:pPr>
      <w:r>
        <w:rPr>
          <w:rFonts w:hint="eastAsia"/>
        </w:rPr>
        <w:t>预拌混凝土生产全过程应选用技术先进、低噪音、低能耗、低排放的设备，并应符合《建筑施工机械与设备 混凝土搅拌站（楼）》GB/T 10171、《建筑施工机械与设备 混凝土搅拌机》GB/T 9142</w:t>
      </w:r>
      <w:r>
        <w:rPr>
          <w:rFonts w:hint="eastAsia"/>
          <w:lang w:val="en-US" w:eastAsia="zh-CN"/>
        </w:rPr>
        <w:t>的</w:t>
      </w:r>
      <w:r>
        <w:rPr>
          <w:rFonts w:hint="eastAsia"/>
        </w:rPr>
        <w:t>相关规定。</w:t>
      </w:r>
    </w:p>
    <w:p>
      <w:pPr>
        <w:pStyle w:val="167"/>
      </w:pPr>
      <w:r>
        <w:rPr>
          <w:rFonts w:hint="eastAsia"/>
        </w:rPr>
        <w:t>预拌混凝土企业应建立设备设施技术档案，记录设备运行、维护、保养、检定等日常工作情况。</w:t>
      </w:r>
    </w:p>
    <w:p>
      <w:pPr>
        <w:pStyle w:val="107"/>
        <w:spacing w:before="156" w:after="156"/>
      </w:pPr>
      <w:bookmarkStart w:id="58" w:name="_Toc26601"/>
      <w:bookmarkStart w:id="59" w:name="_Toc1021"/>
      <w:bookmarkStart w:id="60" w:name="_Toc144411359"/>
      <w:r>
        <w:rPr>
          <w:rFonts w:hint="eastAsia"/>
        </w:rPr>
        <w:t>搅拌站（楼）</w:t>
      </w:r>
      <w:bookmarkEnd w:id="58"/>
      <w:bookmarkEnd w:id="59"/>
      <w:bookmarkEnd w:id="60"/>
    </w:p>
    <w:p>
      <w:pPr>
        <w:pStyle w:val="167"/>
      </w:pPr>
      <w:r>
        <w:rPr>
          <w:rFonts w:hint="eastAsia"/>
        </w:rPr>
        <w:t>搅拌层、</w:t>
      </w:r>
      <w:r>
        <w:rPr>
          <w:rFonts w:hint="eastAsia"/>
          <w:lang w:val="en-US" w:eastAsia="zh-CN"/>
        </w:rPr>
        <w:t>配料</w:t>
      </w:r>
      <w:r>
        <w:rPr>
          <w:rFonts w:hint="eastAsia"/>
        </w:rPr>
        <w:t>层平台应设有除尘设备。</w:t>
      </w:r>
    </w:p>
    <w:p>
      <w:pPr>
        <w:pStyle w:val="167"/>
      </w:pPr>
      <w:r>
        <w:rPr>
          <w:rFonts w:hint="eastAsia"/>
        </w:rPr>
        <w:t>搅拌主机卸料口应设置防止混凝土喷溅的设施。</w:t>
      </w:r>
    </w:p>
    <w:p>
      <w:pPr>
        <w:pStyle w:val="167"/>
      </w:pPr>
      <w:r>
        <w:rPr>
          <w:rFonts w:hint="eastAsia"/>
        </w:rPr>
        <w:t>搅拌机主机内宜安装加压冲洗设备。</w:t>
      </w:r>
    </w:p>
    <w:p>
      <w:pPr>
        <w:pStyle w:val="167"/>
      </w:pPr>
      <w:r>
        <w:rPr>
          <w:rFonts w:hint="eastAsia"/>
        </w:rPr>
        <w:t>搅拌站（楼）主体二层及以上部分、原材料上料、配料、搅拌等设施、设备均应进行封闭，采用防尘的采光设备。</w:t>
      </w:r>
    </w:p>
    <w:p>
      <w:pPr>
        <w:pStyle w:val="107"/>
        <w:spacing w:before="156" w:after="156"/>
      </w:pPr>
      <w:bookmarkStart w:id="61" w:name="_Toc144411360"/>
      <w:bookmarkStart w:id="62" w:name="_Toc10696"/>
      <w:bookmarkStart w:id="63" w:name="_Toc15277"/>
      <w:r>
        <w:rPr>
          <w:rFonts w:hint="eastAsia"/>
        </w:rPr>
        <w:t>原材料存储与输送</w:t>
      </w:r>
      <w:bookmarkEnd w:id="61"/>
      <w:bookmarkEnd w:id="62"/>
      <w:bookmarkEnd w:id="63"/>
    </w:p>
    <w:p>
      <w:pPr>
        <w:pStyle w:val="167"/>
      </w:pPr>
      <w:r>
        <w:rPr>
          <w:rFonts w:hint="eastAsia"/>
        </w:rPr>
        <w:t>粉料仓顶及出料口应配置收尘装置。</w:t>
      </w:r>
    </w:p>
    <w:p>
      <w:pPr>
        <w:pStyle w:val="167"/>
      </w:pPr>
      <w:r>
        <w:rPr>
          <w:rFonts w:hint="eastAsia"/>
        </w:rPr>
        <w:t>粉料入仓宜采用低噪音方式输送，入仓处应设置接气口。</w:t>
      </w:r>
    </w:p>
    <w:p>
      <w:pPr>
        <w:pStyle w:val="167"/>
      </w:pPr>
      <w:r>
        <w:rPr>
          <w:rFonts w:hint="eastAsia"/>
        </w:rPr>
        <w:t>骨料仓及生产配料仓宜封闭，设置降尘、收尘装置。</w:t>
      </w:r>
    </w:p>
    <w:p>
      <w:pPr>
        <w:pStyle w:val="167"/>
      </w:pPr>
      <w:bookmarkStart w:id="64" w:name="_Toc144411361"/>
      <w:bookmarkStart w:id="65" w:name="_Toc12375"/>
      <w:r>
        <w:rPr>
          <w:rFonts w:hint="eastAsia"/>
        </w:rPr>
        <w:t>骨料装卸作业宜采用布料机或电动装载机。</w:t>
      </w:r>
      <w:bookmarkEnd w:id="64"/>
      <w:bookmarkEnd w:id="65"/>
    </w:p>
    <w:p>
      <w:pPr>
        <w:pStyle w:val="167"/>
      </w:pPr>
      <w:r>
        <w:rPr>
          <w:rFonts w:hint="eastAsia"/>
        </w:rPr>
        <w:t>外加剂储罐应配备防溢出防渗漏装置，建立异常情况处置机制并定期检查，发现异常及时处置。外加剂储罐及输送管道应做防腐防冻处理。</w:t>
      </w:r>
    </w:p>
    <w:p>
      <w:pPr>
        <w:pStyle w:val="167"/>
      </w:pPr>
      <w:r>
        <w:rPr>
          <w:rFonts w:hint="eastAsia"/>
        </w:rPr>
        <w:t>预拌混凝土</w:t>
      </w:r>
      <w:r>
        <w:rPr>
          <w:rFonts w:hint="eastAsia"/>
          <w:lang w:val="en-US" w:eastAsia="zh-CN"/>
        </w:rPr>
        <w:t>企业</w:t>
      </w:r>
      <w:r>
        <w:rPr>
          <w:rFonts w:hint="eastAsia"/>
        </w:rPr>
        <w:t>宜配备智能过磅系统和原材料库存监控系统。</w:t>
      </w:r>
    </w:p>
    <w:p>
      <w:pPr>
        <w:pStyle w:val="167"/>
      </w:pPr>
      <w:r>
        <w:rPr>
          <w:rFonts w:hint="eastAsia"/>
        </w:rPr>
        <w:t>预拌混凝土企业原材料码头堆场及输送设备应封闭，设置除尘、降尘装置。</w:t>
      </w:r>
    </w:p>
    <w:p>
      <w:pPr>
        <w:pStyle w:val="107"/>
        <w:spacing w:before="156" w:after="156"/>
      </w:pPr>
      <w:bookmarkStart w:id="66" w:name="_Toc5262"/>
      <w:bookmarkStart w:id="67" w:name="_Toc144411362"/>
      <w:bookmarkStart w:id="68" w:name="_Toc659"/>
      <w:r>
        <w:rPr>
          <w:rFonts w:hint="eastAsia"/>
        </w:rPr>
        <w:t>生产排放物处理设施</w:t>
      </w:r>
      <w:bookmarkEnd w:id="66"/>
      <w:bookmarkEnd w:id="67"/>
      <w:bookmarkEnd w:id="68"/>
    </w:p>
    <w:p>
      <w:pPr>
        <w:pStyle w:val="167"/>
      </w:pPr>
      <w:r>
        <w:rPr>
          <w:rFonts w:hint="eastAsia"/>
        </w:rPr>
        <w:t>预拌混凝土企业应配备生产废水、废浆零排放处理系统。</w:t>
      </w:r>
    </w:p>
    <w:p>
      <w:pPr>
        <w:pStyle w:val="167"/>
      </w:pPr>
      <w:r>
        <w:rPr>
          <w:rFonts w:hint="eastAsia"/>
        </w:rPr>
        <w:t>预拌混凝土企业应配备砂石分离装置及废弃混凝土处置设备。</w:t>
      </w:r>
    </w:p>
    <w:p>
      <w:pPr>
        <w:pStyle w:val="167"/>
      </w:pPr>
      <w:r>
        <w:rPr>
          <w:rFonts w:hint="eastAsia"/>
        </w:rPr>
        <w:t>预拌混凝土企业宜配备粉体混匀装置。</w:t>
      </w:r>
    </w:p>
    <w:p>
      <w:pPr>
        <w:pStyle w:val="106"/>
        <w:spacing w:before="312" w:after="312"/>
      </w:pPr>
      <w:bookmarkStart w:id="69" w:name="_Toc31581"/>
      <w:bookmarkStart w:id="70" w:name="_Toc144411363"/>
      <w:bookmarkStart w:id="71" w:name="_Toc27792"/>
      <w:r>
        <w:rPr>
          <w:rFonts w:hint="eastAsia"/>
        </w:rPr>
        <w:t>预拌混凝土绿色设计</w:t>
      </w:r>
      <w:bookmarkEnd w:id="69"/>
      <w:bookmarkEnd w:id="70"/>
      <w:bookmarkEnd w:id="71"/>
    </w:p>
    <w:p>
      <w:pPr>
        <w:pStyle w:val="107"/>
        <w:spacing w:before="156" w:after="156"/>
      </w:pPr>
      <w:bookmarkStart w:id="72" w:name="_Toc8815"/>
      <w:r>
        <w:rPr>
          <w:rFonts w:hint="eastAsia"/>
          <w:lang w:val="en-US" w:eastAsia="zh-CN"/>
        </w:rPr>
        <w:t>一般规定</w:t>
      </w:r>
      <w:bookmarkEnd w:id="72"/>
    </w:p>
    <w:p>
      <w:pPr>
        <w:pStyle w:val="167"/>
      </w:pPr>
      <w:r>
        <w:rPr>
          <w:rFonts w:hint="eastAsia"/>
        </w:rPr>
        <w:t>预拌混凝土绿色设计宜结合《江苏省高性能混凝土应用技术规程》DB32/T 3696进行预拌混凝土原材料优选和配合比设计。</w:t>
      </w:r>
    </w:p>
    <w:p>
      <w:pPr>
        <w:pStyle w:val="167"/>
      </w:pPr>
      <w:r>
        <w:rPr>
          <w:rFonts w:hint="eastAsia"/>
        </w:rPr>
        <w:t>预拌混凝土质量应符合《预拌混凝土》GB/T 14902</w:t>
      </w:r>
      <w:r>
        <w:rPr>
          <w:rFonts w:hint="eastAsia"/>
          <w:lang w:val="en-US" w:eastAsia="zh-CN"/>
        </w:rPr>
        <w:t>的相关</w:t>
      </w:r>
      <w:r>
        <w:rPr>
          <w:rFonts w:hint="eastAsia"/>
        </w:rPr>
        <w:t>要求。</w:t>
      </w:r>
    </w:p>
    <w:p>
      <w:pPr>
        <w:pStyle w:val="167"/>
      </w:pPr>
      <w:r>
        <w:rPr>
          <w:rFonts w:hint="eastAsia"/>
        </w:rPr>
        <w:t>预拌混凝土应根据结构所处的环境类别、作用等级和结构设计使用年限进行配合比设计，宜采用化学外加剂和功能型材料。</w:t>
      </w:r>
    </w:p>
    <w:p>
      <w:pPr>
        <w:pStyle w:val="167"/>
      </w:pPr>
      <w:r>
        <w:rPr>
          <w:rFonts w:hint="eastAsia"/>
        </w:rPr>
        <w:t>对于有抗裂防渗特殊要求的混凝土结构应按《江苏省高性能混凝土应用技术规程》DB32/T 3696的</w:t>
      </w:r>
      <w:r>
        <w:rPr>
          <w:rFonts w:hint="eastAsia"/>
          <w:lang w:val="en-US" w:eastAsia="zh-CN"/>
        </w:rPr>
        <w:t>相关</w:t>
      </w:r>
      <w:r>
        <w:rPr>
          <w:rFonts w:hint="eastAsia"/>
        </w:rPr>
        <w:t>规定进行抗裂性专项设计。</w:t>
      </w:r>
    </w:p>
    <w:p>
      <w:pPr>
        <w:pStyle w:val="107"/>
        <w:spacing w:before="156" w:after="156"/>
      </w:pPr>
      <w:bookmarkStart w:id="73" w:name="_Toc26644"/>
      <w:r>
        <w:rPr>
          <w:rFonts w:hint="eastAsia"/>
          <w:lang w:val="en-US" w:eastAsia="zh-CN"/>
        </w:rPr>
        <w:t>原材料</w:t>
      </w:r>
      <w:bookmarkEnd w:id="73"/>
    </w:p>
    <w:p>
      <w:pPr>
        <w:pStyle w:val="167"/>
      </w:pPr>
      <w:r>
        <w:rPr>
          <w:rFonts w:hint="eastAsia"/>
        </w:rPr>
        <w:t>水泥应采用强度等级不低于42.5级的通用硅酸盐水泥，其性能应符合《通用硅酸盐水泥》GB 175的</w:t>
      </w:r>
      <w:r>
        <w:rPr>
          <w:rFonts w:hint="eastAsia"/>
          <w:lang w:val="en-US" w:eastAsia="zh-CN"/>
        </w:rPr>
        <w:t>相关</w:t>
      </w:r>
      <w:r>
        <w:rPr>
          <w:rFonts w:hint="eastAsia"/>
        </w:rPr>
        <w:t>规定。水泥入罐温度不应大于60℃。</w:t>
      </w:r>
      <w:bookmarkStart w:id="74" w:name="_Toc144411367"/>
    </w:p>
    <w:bookmarkEnd w:id="74"/>
    <w:p>
      <w:pPr>
        <w:pStyle w:val="167"/>
      </w:pPr>
      <w:r>
        <w:rPr>
          <w:rFonts w:hint="eastAsia"/>
        </w:rPr>
        <w:t>粉煤灰性能应符合《用于水泥和混凝土中的粉煤灰》GB/T 1596的</w:t>
      </w:r>
      <w:r>
        <w:rPr>
          <w:rFonts w:hint="eastAsia"/>
          <w:lang w:val="en-US" w:eastAsia="zh-CN"/>
        </w:rPr>
        <w:t>相关</w:t>
      </w:r>
      <w:r>
        <w:rPr>
          <w:rFonts w:hint="eastAsia"/>
        </w:rPr>
        <w:t>规定。粉煤灰中铵离子含量不</w:t>
      </w:r>
      <w:r>
        <w:rPr>
          <w:rFonts w:hint="eastAsia"/>
          <w:lang w:val="en-US" w:eastAsia="zh-CN"/>
        </w:rPr>
        <w:t>应</w:t>
      </w:r>
      <w:r>
        <w:rPr>
          <w:rFonts w:hint="eastAsia"/>
        </w:rPr>
        <w:t>大于210 mg/kg。</w:t>
      </w:r>
    </w:p>
    <w:p>
      <w:pPr>
        <w:pStyle w:val="167"/>
      </w:pPr>
      <w:r>
        <w:rPr>
          <w:rFonts w:hint="eastAsia"/>
        </w:rPr>
        <w:t>矿粉、石灰石粉、天然火山灰质材料等矿物掺合料以及复合掺合料应符合《石灰石粉在混凝土中应用技术规程》JGJ/T 318、《矿物掺合料应用技术规范》GB/T 51003、《混凝土用复合掺合料》JG/T 486的</w:t>
      </w:r>
      <w:r>
        <w:rPr>
          <w:rFonts w:hint="eastAsia"/>
          <w:lang w:val="en-US" w:eastAsia="zh-CN"/>
        </w:rPr>
        <w:t>相关</w:t>
      </w:r>
      <w:r>
        <w:rPr>
          <w:rFonts w:hint="eastAsia"/>
        </w:rPr>
        <w:t>规定。</w:t>
      </w:r>
    </w:p>
    <w:p>
      <w:pPr>
        <w:pStyle w:val="167"/>
      </w:pPr>
      <w:r>
        <w:rPr>
          <w:rFonts w:hint="eastAsia"/>
        </w:rPr>
        <w:t>粗、细骨料的性能应满足《江苏省高性能混凝土应用技术规程》DB32/T 3696和《普通混凝土用砂、石质量及检验方法标准》JGJ 52的</w:t>
      </w:r>
      <w:r>
        <w:rPr>
          <w:rFonts w:hint="eastAsia"/>
          <w:lang w:val="en-US" w:eastAsia="zh-CN"/>
        </w:rPr>
        <w:t>相关</w:t>
      </w:r>
      <w:r>
        <w:rPr>
          <w:rFonts w:hint="eastAsia"/>
        </w:rPr>
        <w:t>规定。</w:t>
      </w:r>
    </w:p>
    <w:p>
      <w:pPr>
        <w:pStyle w:val="167"/>
      </w:pPr>
      <w:r>
        <w:rPr>
          <w:rFonts w:hint="eastAsia"/>
        </w:rPr>
        <w:t>环保型高性能混凝土减水剂应符合《混凝土外加剂应用技术规范》GB 50119、《混凝土外加剂》GB 8076、《聚羧酸系高性能减水剂》JG/T 223的</w:t>
      </w:r>
      <w:r>
        <w:rPr>
          <w:rFonts w:hint="eastAsia"/>
          <w:lang w:val="en-US" w:eastAsia="zh-CN"/>
        </w:rPr>
        <w:t>相关</w:t>
      </w:r>
      <w:r>
        <w:rPr>
          <w:rFonts w:hint="eastAsia"/>
        </w:rPr>
        <w:t>规定。减水剂中甲醛残留量应符合《混凝土外加剂中残留甲醛的限量》GB 31040的</w:t>
      </w:r>
      <w:r>
        <w:rPr>
          <w:rFonts w:hint="eastAsia"/>
          <w:lang w:val="en-US" w:eastAsia="zh-CN"/>
        </w:rPr>
        <w:t>相关</w:t>
      </w:r>
      <w:r>
        <w:rPr>
          <w:rFonts w:hint="eastAsia"/>
        </w:rPr>
        <w:t>规定。</w:t>
      </w:r>
    </w:p>
    <w:p>
      <w:pPr>
        <w:pStyle w:val="167"/>
      </w:pPr>
      <w:r>
        <w:rPr>
          <w:rFonts w:hint="eastAsia"/>
        </w:rPr>
        <w:t>特殊功能外加剂包括抗裂性提升功能材料和耐久性提升功能材料的性能应满足《江苏省高性能混凝土应用技术规程》DB32/T 3696</w:t>
      </w:r>
      <w:r>
        <w:rPr>
          <w:rFonts w:hint="eastAsia"/>
          <w:lang w:val="en-US" w:eastAsia="zh-CN"/>
        </w:rPr>
        <w:t>的相关</w:t>
      </w:r>
      <w:r>
        <w:rPr>
          <w:rFonts w:hint="eastAsia"/>
        </w:rPr>
        <w:t>要求。</w:t>
      </w:r>
    </w:p>
    <w:p>
      <w:pPr>
        <w:pStyle w:val="167"/>
      </w:pPr>
      <w:r>
        <w:rPr>
          <w:rFonts w:hint="eastAsia"/>
        </w:rPr>
        <w:t>当利用生产废水、废浆作为拌合用水时，其混合后水质应符合《混凝土拌合用水》JGJ 63的</w:t>
      </w:r>
      <w:r>
        <w:rPr>
          <w:rFonts w:hint="eastAsia"/>
          <w:lang w:val="en-US" w:eastAsia="zh-CN"/>
        </w:rPr>
        <w:t>相关</w:t>
      </w:r>
      <w:r>
        <w:rPr>
          <w:rFonts w:hint="eastAsia"/>
        </w:rPr>
        <w:t>要求，并应经试验确定</w:t>
      </w:r>
      <w:bookmarkStart w:id="75" w:name="OLE_LINK24"/>
      <w:r>
        <w:rPr>
          <w:rFonts w:hint="eastAsia"/>
        </w:rPr>
        <w:t>使用量</w:t>
      </w:r>
      <w:bookmarkEnd w:id="75"/>
      <w:r>
        <w:rPr>
          <w:rFonts w:hint="eastAsia"/>
        </w:rPr>
        <w:t>。</w:t>
      </w:r>
    </w:p>
    <w:p>
      <w:pPr>
        <w:pStyle w:val="167"/>
      </w:pPr>
      <w:r>
        <w:rPr>
          <w:rFonts w:hint="eastAsia"/>
        </w:rPr>
        <w:t>当利用回收生产性粉尘配制混凝土时，其应符合《石灰石粉在混凝土中应用技术规程》JGJ/T 318的</w:t>
      </w:r>
      <w:r>
        <w:rPr>
          <w:rFonts w:hint="eastAsia"/>
          <w:lang w:val="en-US" w:eastAsia="zh-CN"/>
        </w:rPr>
        <w:t>相关</w:t>
      </w:r>
      <w:r>
        <w:rPr>
          <w:rFonts w:hint="eastAsia"/>
        </w:rPr>
        <w:t>规定，并应经试验确定使用量。</w:t>
      </w:r>
    </w:p>
    <w:p>
      <w:pPr>
        <w:pStyle w:val="107"/>
        <w:spacing w:before="156" w:after="156"/>
      </w:pPr>
      <w:bookmarkStart w:id="76" w:name="_Toc22793"/>
      <w:r>
        <w:rPr>
          <w:rFonts w:hint="eastAsia"/>
          <w:lang w:val="en-US" w:eastAsia="zh-CN"/>
        </w:rPr>
        <w:t>配合比设计</w:t>
      </w:r>
      <w:bookmarkEnd w:id="76"/>
    </w:p>
    <w:p>
      <w:pPr>
        <w:pStyle w:val="167"/>
      </w:pPr>
      <w:r>
        <w:rPr>
          <w:rFonts w:hint="eastAsia"/>
        </w:rPr>
        <w:t>混凝土配合比设计应根据混凝土强度等级、施工性能、长期性能和耐久性能等要求，在满足工程设计和施工要求的条件下，宜结合《江苏省高性能混凝土应用技术规程》DB32/T 3696进行配合比设计。</w:t>
      </w:r>
    </w:p>
    <w:p>
      <w:pPr>
        <w:pStyle w:val="167"/>
      </w:pPr>
      <w:r>
        <w:rPr>
          <w:rFonts w:hint="eastAsia"/>
        </w:rPr>
        <w:t>混凝土配合比宜掺加矿物掺合料，并应经试验确定其用量。</w:t>
      </w:r>
    </w:p>
    <w:p>
      <w:pPr>
        <w:pStyle w:val="167"/>
      </w:pPr>
      <w:r>
        <w:rPr>
          <w:rFonts w:hint="eastAsia"/>
        </w:rPr>
        <w:t>固体废弃物用作粗、细骨料时，应经试验确定其用量。</w:t>
      </w:r>
    </w:p>
    <w:p>
      <w:pPr>
        <w:pStyle w:val="167"/>
      </w:pPr>
      <w:r>
        <w:rPr>
          <w:rFonts w:hint="eastAsia"/>
        </w:rPr>
        <w:t>对有裂缝控制需要的混凝土结构，应按《江苏省高性能混凝土应用技术规程》DB32/T 3696</w:t>
      </w:r>
      <w:r>
        <w:rPr>
          <w:rFonts w:hint="eastAsia"/>
          <w:lang w:val="en-US" w:eastAsia="zh-CN"/>
        </w:rPr>
        <w:t>的相关要求</w:t>
      </w:r>
      <w:r>
        <w:rPr>
          <w:rFonts w:hint="eastAsia"/>
        </w:rPr>
        <w:t>进行配合比设计，宜使用抗裂性提升功能材料。</w:t>
      </w:r>
    </w:p>
    <w:p>
      <w:pPr>
        <w:pStyle w:val="167"/>
      </w:pPr>
      <w:r>
        <w:rPr>
          <w:rFonts w:hint="eastAsia"/>
        </w:rPr>
        <w:t>处于环境作用等级为D和E的混凝土结构，应按《江苏省高性能混凝土应用技术规程》DB32/T 3696</w:t>
      </w:r>
      <w:r>
        <w:rPr>
          <w:rFonts w:hint="eastAsia"/>
          <w:lang w:val="en-US" w:eastAsia="zh-CN"/>
        </w:rPr>
        <w:t>的相关要求</w:t>
      </w:r>
      <w:r>
        <w:rPr>
          <w:rFonts w:hint="eastAsia"/>
        </w:rPr>
        <w:t>进行配合比设计，宜使用耐久性提升功能材料。</w:t>
      </w:r>
    </w:p>
    <w:p>
      <w:pPr>
        <w:pStyle w:val="106"/>
        <w:spacing w:before="312" w:after="312"/>
      </w:pPr>
      <w:bookmarkStart w:id="77" w:name="_Toc5669"/>
      <w:bookmarkStart w:id="78" w:name="_Toc144411369"/>
      <w:bookmarkStart w:id="79" w:name="_Toc10546"/>
      <w:r>
        <w:rPr>
          <w:rFonts w:hint="eastAsia"/>
        </w:rPr>
        <w:t>生产管理</w:t>
      </w:r>
      <w:bookmarkEnd w:id="77"/>
      <w:bookmarkEnd w:id="78"/>
      <w:bookmarkEnd w:id="79"/>
    </w:p>
    <w:p>
      <w:pPr>
        <w:pStyle w:val="107"/>
        <w:spacing w:before="156" w:after="156"/>
      </w:pPr>
      <w:bookmarkStart w:id="80" w:name="_Toc21901"/>
      <w:r>
        <w:rPr>
          <w:rFonts w:hint="eastAsia"/>
          <w:lang w:val="en-US" w:eastAsia="zh-CN"/>
        </w:rPr>
        <w:t>一般规定</w:t>
      </w:r>
      <w:bookmarkEnd w:id="80"/>
    </w:p>
    <w:p>
      <w:pPr>
        <w:pStyle w:val="167"/>
      </w:pPr>
      <w:r>
        <w:rPr>
          <w:rFonts w:hint="eastAsia"/>
        </w:rPr>
        <w:t>预拌混凝土企业应建立绿色、低碳和环保的生产管理制度、实施细则与考核要求。</w:t>
      </w:r>
    </w:p>
    <w:p>
      <w:pPr>
        <w:pStyle w:val="167"/>
      </w:pPr>
      <w:r>
        <w:rPr>
          <w:rFonts w:hint="eastAsia"/>
        </w:rPr>
        <w:t>主要生产设备应建立并保存运行、检查和维修保养记录。</w:t>
      </w:r>
    </w:p>
    <w:p>
      <w:pPr>
        <w:pStyle w:val="167"/>
      </w:pPr>
      <w:bookmarkStart w:id="81" w:name="_Hlk135490202"/>
      <w:r>
        <w:rPr>
          <w:rFonts w:hint="eastAsia"/>
          <w:lang w:val="en-US" w:eastAsia="zh-CN"/>
        </w:rPr>
        <w:t>预拌混凝土</w:t>
      </w:r>
      <w:r>
        <w:rPr>
          <w:rFonts w:hint="eastAsia"/>
        </w:rPr>
        <w:t>企业宜建立生产运营指挥中心，实现预拌混凝土生产全过程数据信息化采集与实时监控，具有计划调度、车辆跟踪、安环巡检、质量</w:t>
      </w:r>
      <w:r>
        <w:rPr>
          <w:rFonts w:hint="eastAsia"/>
          <w:lang w:val="en-US" w:eastAsia="zh-CN"/>
        </w:rPr>
        <w:t>管理</w:t>
      </w:r>
      <w:r>
        <w:rPr>
          <w:rFonts w:hint="eastAsia"/>
        </w:rPr>
        <w:t>和异常预警等功能，数据定期备份存档。</w:t>
      </w:r>
      <w:bookmarkEnd w:id="81"/>
    </w:p>
    <w:p>
      <w:pPr>
        <w:pStyle w:val="107"/>
        <w:spacing w:before="156" w:after="156"/>
      </w:pPr>
      <w:bookmarkStart w:id="82" w:name="_Toc10281"/>
      <w:r>
        <w:rPr>
          <w:rFonts w:hint="eastAsia"/>
          <w:lang w:val="en-US" w:eastAsia="zh-CN"/>
        </w:rPr>
        <w:t>原材料管理</w:t>
      </w:r>
      <w:bookmarkEnd w:id="82"/>
    </w:p>
    <w:p>
      <w:pPr>
        <w:pStyle w:val="167"/>
      </w:pPr>
      <w:r>
        <w:rPr>
          <w:rFonts w:hint="eastAsia"/>
        </w:rPr>
        <w:t>原材料储存位置和仓位</w:t>
      </w:r>
      <w:r>
        <w:rPr>
          <w:rFonts w:hint="eastAsia"/>
          <w:lang w:val="en-US" w:eastAsia="zh-CN"/>
        </w:rPr>
        <w:t>应</w:t>
      </w:r>
      <w:r>
        <w:rPr>
          <w:rFonts w:hint="eastAsia"/>
        </w:rPr>
        <w:t>合理设计，标识清晰、分仓储存。</w:t>
      </w:r>
    </w:p>
    <w:p>
      <w:pPr>
        <w:pStyle w:val="167"/>
      </w:pPr>
      <w:r>
        <w:rPr>
          <w:rFonts w:hint="eastAsia"/>
        </w:rPr>
        <w:t>掺加少量袋装原材料时，应采取安全有效的操作步骤，安排专人负责，</w:t>
      </w:r>
      <w:r>
        <w:rPr>
          <w:rFonts w:hint="eastAsia"/>
          <w:lang w:val="en-US" w:eastAsia="zh-CN"/>
        </w:rPr>
        <w:t>并应回收</w:t>
      </w:r>
      <w:r>
        <w:rPr>
          <w:rFonts w:hint="eastAsia"/>
        </w:rPr>
        <w:t>包装袋。</w:t>
      </w:r>
    </w:p>
    <w:p>
      <w:pPr>
        <w:pStyle w:val="107"/>
        <w:spacing w:before="156" w:after="156"/>
      </w:pPr>
      <w:bookmarkStart w:id="83" w:name="_Toc24249"/>
      <w:r>
        <w:rPr>
          <w:rFonts w:hint="eastAsia"/>
          <w:lang w:val="en-US" w:eastAsia="zh-CN"/>
        </w:rPr>
        <w:t>生产过程管理</w:t>
      </w:r>
      <w:bookmarkEnd w:id="83"/>
    </w:p>
    <w:p>
      <w:pPr>
        <w:pStyle w:val="167"/>
      </w:pPr>
      <w:r>
        <w:rPr>
          <w:rFonts w:hint="eastAsia"/>
        </w:rPr>
        <w:t>生产过程应采用自动化、信息化的控制系统，生产数据应自动储存并可追溯。</w:t>
      </w:r>
    </w:p>
    <w:p>
      <w:pPr>
        <w:pStyle w:val="167"/>
      </w:pPr>
      <w:r>
        <w:rPr>
          <w:rFonts w:hint="eastAsia"/>
        </w:rPr>
        <w:t>厂区应保持干净整洁，场地宜采用路面清扫车清洁。</w:t>
      </w:r>
    </w:p>
    <w:p>
      <w:pPr>
        <w:pStyle w:val="167"/>
      </w:pPr>
      <w:r>
        <w:rPr>
          <w:rFonts w:hint="eastAsia"/>
        </w:rPr>
        <w:t>收尘、降尘、降噪等设备设施应保持正常运行，并定期检查和填写维护记录。</w:t>
      </w:r>
    </w:p>
    <w:p>
      <w:pPr>
        <w:pStyle w:val="167"/>
      </w:pPr>
      <w:r>
        <w:rPr>
          <w:rFonts w:hint="eastAsia"/>
        </w:rPr>
        <w:t>搅拌机内宜采用加压冲洗设备进行冲洗。</w:t>
      </w:r>
    </w:p>
    <w:p>
      <w:pPr>
        <w:pStyle w:val="167"/>
      </w:pPr>
      <w:r>
        <w:rPr>
          <w:rFonts w:hint="eastAsia"/>
        </w:rPr>
        <w:t>生产排放物应合理处理利用，符合以下规定：</w:t>
      </w:r>
    </w:p>
    <w:p>
      <w:pPr>
        <w:pStyle w:val="176"/>
        <w:numPr>
          <w:ilvl w:val="0"/>
          <w:numId w:val="0"/>
        </w:numPr>
        <w:tabs>
          <w:tab w:val="clear" w:pos="851"/>
        </w:tabs>
        <w:ind w:left="425"/>
      </w:pPr>
      <w:r>
        <w:rPr>
          <w:rFonts w:hint="eastAsia"/>
        </w:rPr>
        <w:t>a)  经处理过的废水用于预拌混凝土生产时，应单独计量，由专用管道输入搅拌主机；</w:t>
      </w:r>
    </w:p>
    <w:p>
      <w:pPr>
        <w:pStyle w:val="176"/>
        <w:numPr>
          <w:ilvl w:val="0"/>
          <w:numId w:val="0"/>
        </w:numPr>
        <w:tabs>
          <w:tab w:val="clear" w:pos="851"/>
        </w:tabs>
        <w:ind w:left="425"/>
      </w:pPr>
      <w:r>
        <w:rPr>
          <w:rFonts w:hint="eastAsia"/>
        </w:rPr>
        <w:t>b)  拌合水可掺入适当比例的废浆，配合比设计时可将废浆中的</w:t>
      </w:r>
      <w:r>
        <w:rPr>
          <w:rFonts w:hint="eastAsia"/>
          <w:lang w:val="en-US" w:eastAsia="zh-CN"/>
        </w:rPr>
        <w:t>水</w:t>
      </w:r>
      <w:r>
        <w:rPr>
          <w:rFonts w:hint="eastAsia"/>
        </w:rPr>
        <w:t>计入</w:t>
      </w:r>
      <w:r>
        <w:rPr>
          <w:rFonts w:hint="eastAsia"/>
          <w:lang w:val="en-US" w:eastAsia="zh-CN"/>
        </w:rPr>
        <w:t>混凝土用水量</w:t>
      </w:r>
      <w:r>
        <w:rPr>
          <w:rFonts w:hint="eastAsia"/>
        </w:rPr>
        <w:t>，</w:t>
      </w:r>
      <w:r>
        <w:rPr>
          <w:rFonts w:hint="eastAsia"/>
          <w:lang w:val="en-US" w:eastAsia="zh-CN"/>
        </w:rPr>
        <w:t>并应经</w:t>
      </w:r>
      <w:r>
        <w:rPr>
          <w:rFonts w:hint="eastAsia"/>
        </w:rPr>
        <w:t>试验确定</w:t>
      </w:r>
      <w:r>
        <w:rPr>
          <w:rFonts w:hint="eastAsia"/>
          <w:lang w:val="en-US" w:eastAsia="zh-CN"/>
        </w:rPr>
        <w:t>使用量</w:t>
      </w:r>
      <w:r>
        <w:rPr>
          <w:rFonts w:hint="eastAsia"/>
        </w:rPr>
        <w:t>；</w:t>
      </w:r>
    </w:p>
    <w:p>
      <w:pPr>
        <w:pStyle w:val="176"/>
        <w:numPr>
          <w:ilvl w:val="0"/>
          <w:numId w:val="0"/>
        </w:numPr>
        <w:tabs>
          <w:tab w:val="clear" w:pos="851"/>
        </w:tabs>
        <w:ind w:left="425"/>
        <w:rPr>
          <w:rFonts w:hint="eastAsia" w:eastAsia="宋体"/>
          <w:lang w:eastAsia="zh-CN"/>
        </w:rPr>
      </w:pPr>
      <w:r>
        <w:rPr>
          <w:rFonts w:hint="eastAsia"/>
        </w:rPr>
        <w:t>c)  废弃新拌混凝土宜进行二次利用，或处理后二次利用</w:t>
      </w:r>
      <w:r>
        <w:rPr>
          <w:rFonts w:hint="eastAsia"/>
          <w:lang w:val="en-US" w:eastAsia="zh-CN"/>
        </w:rPr>
        <w:t>；</w:t>
      </w:r>
    </w:p>
    <w:p>
      <w:pPr>
        <w:pStyle w:val="176"/>
        <w:numPr>
          <w:ilvl w:val="0"/>
          <w:numId w:val="0"/>
        </w:numPr>
        <w:tabs>
          <w:tab w:val="clear" w:pos="851"/>
        </w:tabs>
        <w:ind w:left="425"/>
      </w:pPr>
      <w:r>
        <w:rPr>
          <w:rFonts w:hint="eastAsia"/>
        </w:rPr>
        <w:t>d)  废弃硬化混凝土宜采用再生利用措施进行二次利用，不得随意处置。</w:t>
      </w:r>
    </w:p>
    <w:p>
      <w:pPr>
        <w:pStyle w:val="107"/>
        <w:spacing w:before="156" w:after="156"/>
      </w:pPr>
      <w:bookmarkStart w:id="84" w:name="_Toc20365"/>
      <w:r>
        <w:rPr>
          <w:rFonts w:hint="eastAsia"/>
          <w:lang w:val="en-US" w:eastAsia="zh-CN"/>
        </w:rPr>
        <w:t>进出厂管理</w:t>
      </w:r>
      <w:bookmarkEnd w:id="84"/>
    </w:p>
    <w:p>
      <w:pPr>
        <w:pStyle w:val="167"/>
      </w:pPr>
      <w:r>
        <w:rPr>
          <w:rFonts w:hint="eastAsia"/>
        </w:rPr>
        <w:t>进入厂区车辆的行驶速度不超过5km/h。</w:t>
      </w:r>
    </w:p>
    <w:p>
      <w:pPr>
        <w:pStyle w:val="167"/>
      </w:pPr>
      <w:r>
        <w:rPr>
          <w:rFonts w:hint="eastAsia"/>
        </w:rPr>
        <w:t>原材料运输车辆进出厂应符合以下规定：</w:t>
      </w:r>
    </w:p>
    <w:p>
      <w:pPr>
        <w:pStyle w:val="176"/>
        <w:numPr>
          <w:ilvl w:val="0"/>
          <w:numId w:val="0"/>
        </w:numPr>
        <w:tabs>
          <w:tab w:val="clear" w:pos="851"/>
        </w:tabs>
        <w:ind w:left="425"/>
        <w:rPr>
          <w:rFonts w:ascii="Times New Roman"/>
        </w:rPr>
      </w:pPr>
      <w:r>
        <w:rPr>
          <w:rFonts w:hint="eastAsia"/>
        </w:rPr>
        <w:t>a)</w:t>
      </w:r>
      <w:r>
        <w:rPr>
          <w:rFonts w:hint="eastAsia" w:ascii="Times New Roman"/>
        </w:rPr>
        <w:t xml:space="preserve">  原材料运输车辆进出厂应计重，计重设备应具备数据存储和传输功能；</w:t>
      </w:r>
    </w:p>
    <w:p>
      <w:pPr>
        <w:pStyle w:val="176"/>
        <w:numPr>
          <w:ilvl w:val="0"/>
          <w:numId w:val="0"/>
        </w:numPr>
        <w:tabs>
          <w:tab w:val="clear" w:pos="851"/>
        </w:tabs>
        <w:ind w:left="425"/>
        <w:rPr>
          <w:rFonts w:ascii="Times New Roman"/>
        </w:rPr>
      </w:pPr>
      <w:r>
        <w:rPr>
          <w:rFonts w:hint="eastAsia"/>
        </w:rPr>
        <w:t>b)</w:t>
      </w:r>
      <w:r>
        <w:rPr>
          <w:rFonts w:hint="eastAsia" w:ascii="Times New Roman"/>
        </w:rPr>
        <w:t xml:space="preserve">  原材料运输过程中应采取防止“滴洒漏”措施。</w:t>
      </w:r>
    </w:p>
    <w:p>
      <w:pPr>
        <w:pStyle w:val="167"/>
      </w:pPr>
      <w:r>
        <w:rPr>
          <w:rFonts w:hint="eastAsia"/>
        </w:rPr>
        <w:t>混凝土搅拌运输车符合以下规定：</w:t>
      </w:r>
    </w:p>
    <w:p>
      <w:pPr>
        <w:pStyle w:val="176"/>
        <w:numPr>
          <w:ilvl w:val="0"/>
          <w:numId w:val="0"/>
        </w:numPr>
        <w:tabs>
          <w:tab w:val="clear" w:pos="851"/>
        </w:tabs>
        <w:ind w:left="425"/>
        <w:rPr>
          <w:rFonts w:ascii="Times New Roman"/>
        </w:rPr>
      </w:pPr>
      <w:r>
        <w:rPr>
          <w:rFonts w:hint="eastAsia"/>
        </w:rPr>
        <w:t>a)</w:t>
      </w:r>
      <w:r>
        <w:rPr>
          <w:rFonts w:hint="eastAsia" w:ascii="Times New Roman"/>
        </w:rPr>
        <w:t xml:space="preserve">  混凝土搅拌运输车的外观应保持整洁干净，出厂前清洗，不得粘附混凝土拌合物；</w:t>
      </w:r>
    </w:p>
    <w:p>
      <w:pPr>
        <w:pStyle w:val="176"/>
        <w:numPr>
          <w:ilvl w:val="0"/>
          <w:numId w:val="0"/>
        </w:numPr>
        <w:tabs>
          <w:tab w:val="clear" w:pos="851"/>
        </w:tabs>
        <w:ind w:left="425"/>
        <w:rPr>
          <w:rFonts w:ascii="Times New Roman"/>
        </w:rPr>
      </w:pPr>
      <w:r>
        <w:rPr>
          <w:rFonts w:hint="eastAsia"/>
        </w:rPr>
        <w:t>b)</w:t>
      </w:r>
      <w:r>
        <w:rPr>
          <w:rFonts w:hint="eastAsia" w:ascii="Times New Roman"/>
        </w:rPr>
        <w:t xml:space="preserve">  混凝土搅拌运输车宜有搅拌罐反转报警装置；</w:t>
      </w:r>
    </w:p>
    <w:p>
      <w:pPr>
        <w:pStyle w:val="176"/>
        <w:numPr>
          <w:ilvl w:val="0"/>
          <w:numId w:val="0"/>
        </w:numPr>
        <w:tabs>
          <w:tab w:val="clear" w:pos="851"/>
        </w:tabs>
        <w:ind w:left="425"/>
        <w:rPr>
          <w:rFonts w:ascii="Times New Roman"/>
        </w:rPr>
      </w:pPr>
      <w:r>
        <w:rPr>
          <w:rFonts w:hint="eastAsia"/>
        </w:rPr>
        <w:t>c)</w:t>
      </w:r>
      <w:r>
        <w:rPr>
          <w:rFonts w:hint="eastAsia" w:ascii="Times New Roman"/>
        </w:rPr>
        <w:t xml:space="preserve">  混凝土搅拌运输车放料槽应有防撒漏装置，装置中的废弃物应及时清理；</w:t>
      </w:r>
    </w:p>
    <w:p>
      <w:pPr>
        <w:pStyle w:val="176"/>
        <w:numPr>
          <w:ilvl w:val="0"/>
          <w:numId w:val="0"/>
        </w:numPr>
        <w:tabs>
          <w:tab w:val="clear" w:pos="851"/>
        </w:tabs>
        <w:ind w:left="425"/>
        <w:rPr>
          <w:rFonts w:ascii="Times New Roman"/>
        </w:rPr>
      </w:pPr>
      <w:r>
        <w:rPr>
          <w:rFonts w:hint="eastAsia"/>
        </w:rPr>
        <w:t>d)</w:t>
      </w:r>
      <w:r>
        <w:rPr>
          <w:rFonts w:hint="eastAsia" w:ascii="Times New Roman"/>
        </w:rPr>
        <w:t xml:space="preserve">  混凝土搅拌运输车宜安装盲区影像监控提示系统和实时行车轨迹定位系统，车尾部宜安装卸料监控系统。</w:t>
      </w:r>
    </w:p>
    <w:p>
      <w:pPr>
        <w:pStyle w:val="107"/>
        <w:spacing w:before="156" w:after="156"/>
      </w:pPr>
      <w:bookmarkStart w:id="85" w:name="_Toc8311"/>
      <w:bookmarkStart w:id="86" w:name="_Toc4325"/>
      <w:bookmarkStart w:id="87" w:name="_Toc144411374"/>
      <w:bookmarkStart w:id="88" w:name="_Toc135722923"/>
      <w:bookmarkStart w:id="89" w:name="_Toc136414435"/>
      <w:r>
        <w:rPr>
          <w:rFonts w:hint="eastAsia"/>
        </w:rPr>
        <w:t>监测控制</w:t>
      </w:r>
      <w:bookmarkEnd w:id="85"/>
      <w:bookmarkEnd w:id="86"/>
      <w:bookmarkEnd w:id="87"/>
      <w:bookmarkEnd w:id="88"/>
      <w:bookmarkEnd w:id="89"/>
    </w:p>
    <w:p>
      <w:pPr>
        <w:pStyle w:val="167"/>
      </w:pPr>
      <w:r>
        <w:rPr>
          <w:rFonts w:hint="eastAsia"/>
        </w:rPr>
        <w:t>绿色生产监测控制对象应包括生产性粉尘和噪声。当废水和废浆用于制备混凝土时，监测控制对象还应包括废水和废浆。</w:t>
      </w:r>
    </w:p>
    <w:p>
      <w:pPr>
        <w:pStyle w:val="167"/>
      </w:pPr>
      <w:r>
        <w:rPr>
          <w:rFonts w:hint="eastAsia"/>
        </w:rPr>
        <w:t>企业应定期检查和维护监测控制设施，确保正常运行，并应记录运行情况。</w:t>
      </w:r>
    </w:p>
    <w:p>
      <w:pPr>
        <w:pStyle w:val="106"/>
        <w:spacing w:before="312" w:after="312"/>
      </w:pPr>
      <w:bookmarkStart w:id="90" w:name="_Toc24759"/>
      <w:r>
        <w:rPr>
          <w:rFonts w:hint="eastAsia"/>
          <w:lang w:val="en-US" w:eastAsia="zh-CN"/>
        </w:rPr>
        <w:t>控制要求</w:t>
      </w:r>
      <w:bookmarkEnd w:id="90"/>
    </w:p>
    <w:p>
      <w:pPr>
        <w:pStyle w:val="107"/>
        <w:spacing w:before="156" w:after="156"/>
      </w:pPr>
      <w:bookmarkStart w:id="91" w:name="_Toc12708"/>
      <w:bookmarkStart w:id="92" w:name="_Toc8088"/>
      <w:bookmarkStart w:id="93" w:name="_Toc144411376"/>
      <w:bookmarkStart w:id="94" w:name="_Toc28522"/>
      <w:r>
        <w:rPr>
          <w:rFonts w:hint="eastAsia"/>
        </w:rPr>
        <w:t>原材料</w:t>
      </w:r>
      <w:bookmarkEnd w:id="91"/>
      <w:r>
        <w:rPr>
          <w:rFonts w:hint="eastAsia"/>
        </w:rPr>
        <w:t>控制要求</w:t>
      </w:r>
      <w:bookmarkEnd w:id="92"/>
      <w:bookmarkEnd w:id="93"/>
      <w:bookmarkEnd w:id="94"/>
    </w:p>
    <w:p>
      <w:pPr>
        <w:pStyle w:val="167"/>
      </w:pPr>
      <w:r>
        <w:rPr>
          <w:rFonts w:hint="eastAsia"/>
        </w:rPr>
        <w:t>预拌混凝土原材料应选用符合国家标准的原材料，宜选用获得绿色产品认证的原材料。</w:t>
      </w:r>
    </w:p>
    <w:p>
      <w:pPr>
        <w:pStyle w:val="167"/>
      </w:pPr>
      <w:r>
        <w:rPr>
          <w:rFonts w:hint="eastAsia"/>
        </w:rPr>
        <w:t>原材料的运输、装卸和存放应采取</w:t>
      </w:r>
      <w:r>
        <w:rPr>
          <w:rFonts w:hint="eastAsia"/>
          <w:lang w:val="en-US" w:eastAsia="zh-CN"/>
        </w:rPr>
        <w:t>措施</w:t>
      </w:r>
      <w:r>
        <w:rPr>
          <w:rFonts w:hint="eastAsia"/>
        </w:rPr>
        <w:t>降低噪声和减少生产性粉尘。</w:t>
      </w:r>
    </w:p>
    <w:p>
      <w:pPr>
        <w:pStyle w:val="167"/>
      </w:pPr>
      <w:bookmarkStart w:id="95" w:name="_Toc14674"/>
      <w:r>
        <w:rPr>
          <w:rFonts w:hint="eastAsia"/>
        </w:rPr>
        <w:t>预拌混凝土生产用大宗粉料不应使用袋装方式</w:t>
      </w:r>
      <w:bookmarkEnd w:id="95"/>
      <w:r>
        <w:rPr>
          <w:rFonts w:hint="eastAsia"/>
        </w:rPr>
        <w:t>。</w:t>
      </w:r>
    </w:p>
    <w:p>
      <w:pPr>
        <w:pStyle w:val="107"/>
        <w:spacing w:before="156" w:after="156"/>
      </w:pPr>
      <w:bookmarkStart w:id="96" w:name="_Toc6872"/>
      <w:bookmarkStart w:id="97" w:name="_Toc144411377"/>
      <w:bookmarkStart w:id="98" w:name="_Toc8048"/>
      <w:r>
        <w:rPr>
          <w:rFonts w:hint="eastAsia"/>
        </w:rPr>
        <w:t xml:space="preserve"> </w:t>
      </w:r>
      <w:bookmarkStart w:id="99" w:name="_Toc23466"/>
      <w:r>
        <w:rPr>
          <w:rFonts w:hint="eastAsia"/>
        </w:rPr>
        <w:t>生产排放物控制要求</w:t>
      </w:r>
      <w:bookmarkEnd w:id="96"/>
      <w:bookmarkEnd w:id="97"/>
      <w:bookmarkEnd w:id="98"/>
      <w:bookmarkEnd w:id="99"/>
    </w:p>
    <w:p>
      <w:pPr>
        <w:pStyle w:val="167"/>
      </w:pPr>
      <w:r>
        <w:rPr>
          <w:rFonts w:hint="eastAsia"/>
        </w:rPr>
        <w:t>废水、废浆的处理应符合以下规定：</w:t>
      </w:r>
    </w:p>
    <w:p>
      <w:pPr>
        <w:pStyle w:val="176"/>
        <w:numPr>
          <w:ilvl w:val="0"/>
          <w:numId w:val="0"/>
        </w:numPr>
        <w:tabs>
          <w:tab w:val="clear" w:pos="851"/>
        </w:tabs>
        <w:ind w:left="425"/>
        <w:rPr>
          <w:rFonts w:ascii="Times New Roman"/>
        </w:rPr>
      </w:pPr>
      <w:r>
        <w:rPr>
          <w:rFonts w:hint="eastAsia"/>
        </w:rPr>
        <w:t>a)</w:t>
      </w:r>
      <w:r>
        <w:rPr>
          <w:rFonts w:hint="eastAsia" w:ascii="Times New Roman"/>
        </w:rPr>
        <w:t xml:space="preserve">  预拌混凝土企业产生的废水、废浆应处理后进行二次利用，不得随意排放；</w:t>
      </w:r>
    </w:p>
    <w:p>
      <w:pPr>
        <w:pStyle w:val="176"/>
        <w:numPr>
          <w:ilvl w:val="0"/>
          <w:numId w:val="0"/>
        </w:numPr>
        <w:tabs>
          <w:tab w:val="clear" w:pos="851"/>
        </w:tabs>
        <w:ind w:left="425"/>
        <w:rPr>
          <w:rFonts w:ascii="Times New Roman"/>
        </w:rPr>
      </w:pPr>
      <w:r>
        <w:rPr>
          <w:rFonts w:hint="eastAsia"/>
        </w:rPr>
        <w:t>b)</w:t>
      </w:r>
      <w:r>
        <w:rPr>
          <w:rFonts w:hint="eastAsia" w:ascii="Times New Roman"/>
        </w:rPr>
        <w:t xml:space="preserve">  当采用压滤机对废浆进行处理时，压滤后的废水应通过专用管道进入废水回收利用装置，压滤后的固体应进行资源化利用；</w:t>
      </w:r>
    </w:p>
    <w:p>
      <w:pPr>
        <w:pStyle w:val="176"/>
        <w:numPr>
          <w:ilvl w:val="0"/>
          <w:numId w:val="0"/>
        </w:numPr>
        <w:tabs>
          <w:tab w:val="clear" w:pos="851"/>
        </w:tabs>
        <w:ind w:left="425"/>
        <w:rPr>
          <w:rFonts w:ascii="Times New Roman"/>
        </w:rPr>
      </w:pPr>
      <w:r>
        <w:rPr>
          <w:rFonts w:hint="eastAsia"/>
        </w:rPr>
        <w:t>c)</w:t>
      </w:r>
      <w:r>
        <w:rPr>
          <w:rFonts w:hint="eastAsia" w:ascii="Times New Roman"/>
        </w:rPr>
        <w:t xml:space="preserve">  经沉淀或压滤处理的废水可用于冲洗和预拌混凝土生产，应符合《预拌混凝土绿色生产及管理技术规程》JGJ/T 328的相关规定；</w:t>
      </w:r>
    </w:p>
    <w:p>
      <w:pPr>
        <w:pStyle w:val="176"/>
        <w:numPr>
          <w:ilvl w:val="0"/>
          <w:numId w:val="0"/>
        </w:numPr>
        <w:tabs>
          <w:tab w:val="clear" w:pos="851"/>
        </w:tabs>
        <w:ind w:left="425"/>
        <w:rPr>
          <w:rFonts w:ascii="Times New Roman"/>
        </w:rPr>
      </w:pPr>
      <w:r>
        <w:rPr>
          <w:rFonts w:hint="eastAsia"/>
        </w:rPr>
        <w:t>d)</w:t>
      </w:r>
      <w:r>
        <w:rPr>
          <w:rFonts w:hint="eastAsia" w:ascii="Times New Roman"/>
        </w:rPr>
        <w:t xml:space="preserve">  废浆用于预拌混凝土生产时，应符合《预拌混凝土绿色生产及管理技术规程》JGJ/T 328的相关规定；</w:t>
      </w:r>
    </w:p>
    <w:p>
      <w:pPr>
        <w:pStyle w:val="176"/>
        <w:numPr>
          <w:ilvl w:val="0"/>
          <w:numId w:val="0"/>
        </w:numPr>
        <w:tabs>
          <w:tab w:val="clear" w:pos="851"/>
        </w:tabs>
        <w:ind w:left="425"/>
        <w:rPr>
          <w:rFonts w:ascii="Times New Roman"/>
        </w:rPr>
      </w:pPr>
      <w:r>
        <w:rPr>
          <w:rFonts w:hint="eastAsia"/>
        </w:rPr>
        <w:t>e)</w:t>
      </w:r>
      <w:r>
        <w:rPr>
          <w:rFonts w:hint="eastAsia" w:ascii="Times New Roman"/>
        </w:rPr>
        <w:t xml:space="preserve">  废水、废浆不宜用于制备预应力混凝土、装饰混凝土、高强混凝土和暴露于腐蚀环境的混凝土；不得用于制备使用碱活性或潜在碱活性骨料的混凝土。 </w:t>
      </w:r>
    </w:p>
    <w:p>
      <w:pPr>
        <w:pStyle w:val="167"/>
      </w:pPr>
      <w:bookmarkStart w:id="100" w:name="_Toc144411379"/>
      <w:bookmarkStart w:id="101" w:name="_Toc11255"/>
      <w:r>
        <w:rPr>
          <w:rFonts w:hint="eastAsia"/>
        </w:rPr>
        <w:t>废弃混凝土</w:t>
      </w:r>
      <w:bookmarkEnd w:id="100"/>
      <w:bookmarkEnd w:id="101"/>
      <w:r>
        <w:rPr>
          <w:rFonts w:hint="eastAsia"/>
        </w:rPr>
        <w:t>的处理应符合以下规定：</w:t>
      </w:r>
    </w:p>
    <w:p>
      <w:pPr>
        <w:pStyle w:val="176"/>
        <w:numPr>
          <w:ilvl w:val="0"/>
          <w:numId w:val="0"/>
        </w:numPr>
        <w:tabs>
          <w:tab w:val="clear" w:pos="851"/>
        </w:tabs>
        <w:ind w:left="425"/>
      </w:pPr>
      <w:r>
        <w:rPr>
          <w:rFonts w:hint="eastAsia"/>
        </w:rPr>
        <w:t>a)  预拌混凝土企业应合理安排生产供应，控制剩退混凝土量，减少废弃混凝土；</w:t>
      </w:r>
    </w:p>
    <w:p>
      <w:pPr>
        <w:pStyle w:val="176"/>
        <w:numPr>
          <w:ilvl w:val="0"/>
          <w:numId w:val="0"/>
        </w:numPr>
        <w:tabs>
          <w:tab w:val="clear" w:pos="851"/>
        </w:tabs>
        <w:ind w:left="425"/>
      </w:pPr>
      <w:r>
        <w:rPr>
          <w:rFonts w:hint="eastAsia"/>
        </w:rPr>
        <w:t>b)  废弃新拌混凝土可用于成型小型预制构件；采用砂石分离机处置时，分离后废水排入废水处置系统，分离的砂石应及时清理、分类使用；</w:t>
      </w:r>
    </w:p>
    <w:p>
      <w:pPr>
        <w:pStyle w:val="176"/>
        <w:numPr>
          <w:ilvl w:val="0"/>
          <w:numId w:val="0"/>
        </w:numPr>
        <w:tabs>
          <w:tab w:val="clear" w:pos="851"/>
        </w:tabs>
        <w:ind w:left="425"/>
      </w:pPr>
      <w:r>
        <w:rPr>
          <w:rFonts w:hint="eastAsia"/>
        </w:rPr>
        <w:t>c)  废弃硬化混凝土可制备再生骨料，由预拌混凝土企业或固体废弃物处理机构再生利用。</w:t>
      </w:r>
    </w:p>
    <w:p>
      <w:pPr>
        <w:pStyle w:val="167"/>
      </w:pPr>
      <w:r>
        <w:rPr>
          <w:rFonts w:hint="eastAsia"/>
        </w:rPr>
        <w:t>噪声应符合《声环境质量标准》GB 3096和《工业企业厂界环境噪声排放标准》GB 12348的</w:t>
      </w:r>
      <w:r>
        <w:rPr>
          <w:rFonts w:hint="eastAsia"/>
          <w:lang w:val="en-US" w:eastAsia="zh-CN"/>
        </w:rPr>
        <w:t>相关</w:t>
      </w:r>
      <w:r>
        <w:rPr>
          <w:rFonts w:hint="eastAsia"/>
        </w:rPr>
        <w:t xml:space="preserve">规定。对产生噪声的主要设备设施应进行降噪处理。 </w:t>
      </w:r>
    </w:p>
    <w:p>
      <w:pPr>
        <w:pStyle w:val="167"/>
      </w:pPr>
      <w:r>
        <w:rPr>
          <w:rFonts w:hint="eastAsia"/>
        </w:rPr>
        <w:t>生产性粉尘排放应符合《环境空气质量标准》GB 3095和《水泥工业大气污染物排放标准》GB 4915的</w:t>
      </w:r>
      <w:r>
        <w:rPr>
          <w:rFonts w:hint="eastAsia"/>
          <w:lang w:val="en-US" w:eastAsia="zh-CN"/>
        </w:rPr>
        <w:t>相关</w:t>
      </w:r>
      <w:r>
        <w:rPr>
          <w:rFonts w:hint="eastAsia"/>
        </w:rPr>
        <w:t>规定。</w:t>
      </w:r>
    </w:p>
    <w:p>
      <w:pPr>
        <w:pStyle w:val="106"/>
        <w:spacing w:before="312" w:after="312"/>
      </w:pPr>
      <w:bookmarkStart w:id="102" w:name="_Toc144411381"/>
      <w:bookmarkStart w:id="103" w:name="_Toc30910"/>
      <w:bookmarkStart w:id="104" w:name="_Toc31180"/>
      <w:r>
        <w:rPr>
          <w:rFonts w:hint="eastAsia"/>
        </w:rPr>
        <w:t>碳排放管理</w:t>
      </w:r>
      <w:bookmarkEnd w:id="102"/>
      <w:bookmarkEnd w:id="103"/>
      <w:bookmarkEnd w:id="104"/>
    </w:p>
    <w:bookmarkEnd w:id="24"/>
    <w:p>
      <w:pPr>
        <w:pStyle w:val="164"/>
      </w:pPr>
      <w:bookmarkStart w:id="105" w:name="BookMark5"/>
      <w:r>
        <w:rPr>
          <w:rFonts w:hint="eastAsia"/>
        </w:rPr>
        <w:t>预拌混凝土生产宜坚持“就地取材”</w:t>
      </w:r>
      <w:r>
        <w:rPr>
          <w:rFonts w:hint="eastAsia"/>
          <w:lang w:val="en-US" w:eastAsia="zh-CN"/>
        </w:rPr>
        <w:t>原则</w:t>
      </w:r>
      <w:r>
        <w:rPr>
          <w:rFonts w:hint="eastAsia"/>
        </w:rPr>
        <w:t>，运输距离</w:t>
      </w:r>
      <w:r>
        <w:rPr>
          <w:rFonts w:hint="eastAsia"/>
          <w:lang w:val="en-US" w:eastAsia="zh-CN"/>
        </w:rPr>
        <w:t>宜</w:t>
      </w:r>
      <w:r>
        <w:rPr>
          <w:rFonts w:hint="eastAsia"/>
        </w:rPr>
        <w:t>不大于350 km，宜选择新能源类环保型车辆进行运输，或采用铁路、船舶运输。</w:t>
      </w:r>
    </w:p>
    <w:p>
      <w:pPr>
        <w:pStyle w:val="164"/>
      </w:pPr>
      <w:r>
        <w:rPr>
          <w:rFonts w:hint="eastAsia"/>
        </w:rPr>
        <w:t>预拌混凝土生产</w:t>
      </w:r>
      <w:r>
        <w:rPr>
          <w:rFonts w:hint="eastAsia"/>
          <w:lang w:val="en-US" w:eastAsia="zh-CN"/>
        </w:rPr>
        <w:t>及运输</w:t>
      </w:r>
      <w:r>
        <w:rPr>
          <w:rFonts w:hint="eastAsia"/>
        </w:rPr>
        <w:t>过程应尽可能使用新能源供能的低能耗、智能化生产</w:t>
      </w:r>
      <w:r>
        <w:rPr>
          <w:rFonts w:hint="eastAsia"/>
          <w:lang w:val="en-US" w:eastAsia="zh-CN"/>
        </w:rPr>
        <w:t>及运输</w:t>
      </w:r>
      <w:r>
        <w:rPr>
          <w:rFonts w:hint="eastAsia"/>
        </w:rPr>
        <w:t>设备，且应将生产过程产生的废弃物全部回收利用。预拌混凝土单位产品的生产能耗应不大于0.7 kgce/m</w:t>
      </w:r>
      <w:r>
        <w:rPr>
          <w:rFonts w:hint="eastAsia"/>
          <w:vertAlign w:val="superscript"/>
        </w:rPr>
        <w:t>3</w:t>
      </w:r>
      <w:r>
        <w:rPr>
          <w:rFonts w:hint="eastAsia"/>
        </w:rPr>
        <w:t>，宜在0.3 kgce/m</w:t>
      </w:r>
      <w:r>
        <w:rPr>
          <w:rFonts w:hint="eastAsia"/>
          <w:vertAlign w:val="superscript"/>
        </w:rPr>
        <w:t>3</w:t>
      </w:r>
      <w:r>
        <w:rPr>
          <w:rFonts w:hint="eastAsia"/>
        </w:rPr>
        <w:t>以下。</w:t>
      </w:r>
    </w:p>
    <w:p>
      <w:pPr>
        <w:pStyle w:val="164"/>
      </w:pPr>
      <w:r>
        <w:rPr>
          <w:rFonts w:hint="eastAsia"/>
        </w:rPr>
        <w:t>预拌混凝土企业宜在能源消耗较大的工艺环节或设备处安装电表和水表等仪表设备；宜针对不同型号的预拌混凝土生产线建立报表记录系统及原材料管理系统，以确保各型号产品的能源和原材料使用量得到准确记录。</w:t>
      </w:r>
    </w:p>
    <w:p>
      <w:pPr>
        <w:pStyle w:val="164"/>
      </w:pPr>
      <w:r>
        <w:rPr>
          <w:rFonts w:hint="eastAsia"/>
        </w:rPr>
        <w:t>预拌混凝土单位产品碳排放值应按照本规程附录B进行测算，宜建立碳标签制度。碳排放测算的数据来源应以实际监测结果为准，宜按年为周期搜集数据，实际测算时可</w:t>
      </w:r>
      <w:r>
        <w:rPr>
          <w:rFonts w:hint="eastAsia"/>
          <w:lang w:val="en-US" w:eastAsia="zh-CN"/>
        </w:rPr>
        <w:t>按</w:t>
      </w:r>
      <w:r>
        <w:rPr>
          <w:rFonts w:hint="eastAsia"/>
        </w:rPr>
        <w:t>本规程附录C</w:t>
      </w:r>
      <w:r>
        <w:rPr>
          <w:rFonts w:hint="eastAsia"/>
          <w:lang w:val="en-US" w:eastAsia="zh-CN"/>
        </w:rPr>
        <w:t>执行</w:t>
      </w:r>
      <w:r>
        <w:rPr>
          <w:rFonts w:hint="eastAsia"/>
        </w:rPr>
        <w:t>。</w:t>
      </w:r>
    </w:p>
    <w:p>
      <w:pPr>
        <w:pStyle w:val="200"/>
      </w:pPr>
    </w:p>
    <w:p>
      <w:pPr>
        <w:pStyle w:val="201"/>
      </w:pPr>
    </w:p>
    <w:p>
      <w:bookmarkStart w:id="106" w:name="_Toc13043"/>
      <w:r>
        <w:br w:type="page"/>
      </w:r>
    </w:p>
    <w:p>
      <w:pPr>
        <w:pStyle w:val="78"/>
        <w:spacing w:before="78" w:after="156"/>
      </w:pPr>
      <w:r>
        <w:br w:type="textWrapping"/>
      </w:r>
      <w:r>
        <w:rPr>
          <w:rFonts w:hint="eastAsia"/>
        </w:rPr>
        <w:t>（</w:t>
      </w:r>
      <w:r>
        <w:rPr>
          <w:rFonts w:hint="eastAsia"/>
          <w:lang w:val="en-US" w:eastAsia="zh-CN"/>
        </w:rPr>
        <w:t>规范性</w:t>
      </w:r>
      <w:r>
        <w:rPr>
          <w:rFonts w:hint="eastAsia"/>
        </w:rPr>
        <w:t>）</w:t>
      </w:r>
      <w:r>
        <w:br w:type="textWrapping"/>
      </w:r>
      <w:r>
        <w:rPr>
          <w:rFonts w:hint="eastAsia"/>
        </w:rPr>
        <w:t>绿色生产评价</w:t>
      </w:r>
      <w:bookmarkEnd w:id="106"/>
    </w:p>
    <w:p>
      <w:pPr>
        <w:pStyle w:val="213"/>
      </w:pPr>
      <w:r>
        <w:rPr>
          <w:rFonts w:hint="eastAsia"/>
        </w:rPr>
        <w:t>绿色生产评价等级根据评分划分为一星级、二星级、三星级和四星级。等级划分应符合表1。</w:t>
      </w:r>
    </w:p>
    <w:p>
      <w:pPr>
        <w:numPr>
          <w:ilvl w:val="255"/>
          <w:numId w:val="0"/>
        </w:numPr>
        <w:tabs>
          <w:tab w:val="left" w:pos="0"/>
        </w:tabs>
        <w:adjustRightInd/>
        <w:spacing w:before="156" w:beforeLines="50" w:after="156" w:afterLines="50" w:line="240" w:lineRule="auto"/>
        <w:jc w:val="center"/>
        <w:rPr>
          <w:rFonts w:ascii="宋体" w:hAnsi="宋体" w:cs="宋体"/>
        </w:rPr>
      </w:pPr>
      <w:r>
        <w:rPr>
          <w:rFonts w:hint="eastAsia" w:ascii="黑体" w:hAnsi="黑体" w:eastAsia="黑体" w:cs="黑体"/>
        </w:rPr>
        <w:t>表1  绿色生产评价等级划分</w:t>
      </w:r>
    </w:p>
    <w:tbl>
      <w:tblPr>
        <w:tblStyle w:val="28"/>
        <w:tblW w:w="92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4"/>
        <w:gridCol w:w="3404"/>
        <w:gridCol w:w="3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2324" w:type="dxa"/>
            <w:vMerge w:val="restart"/>
            <w:tcBorders>
              <w:top w:val="single" w:color="auto" w:sz="8" w:space="0"/>
              <w:left w:val="single" w:color="auto" w:sz="8" w:space="0"/>
            </w:tcBorders>
            <w:vAlign w:val="center"/>
          </w:tcPr>
          <w:p>
            <w:pPr>
              <w:numPr>
                <w:ilvl w:val="255"/>
                <w:numId w:val="0"/>
              </w:numPr>
              <w:adjustRightInd/>
              <w:snapToGrid w:val="0"/>
              <w:spacing w:line="240" w:lineRule="auto"/>
              <w:jc w:val="center"/>
              <w:rPr>
                <w:rFonts w:ascii="宋体" w:hAnsi="宋体" w:cs="宋体"/>
                <w:sz w:val="18"/>
                <w:szCs w:val="18"/>
              </w:rPr>
            </w:pPr>
            <w:r>
              <w:rPr>
                <w:rFonts w:hint="eastAsia" w:ascii="宋体" w:hAnsi="宋体" w:cs="宋体"/>
                <w:sz w:val="18"/>
                <w:szCs w:val="18"/>
              </w:rPr>
              <w:t>等级</w:t>
            </w:r>
          </w:p>
        </w:tc>
        <w:tc>
          <w:tcPr>
            <w:tcW w:w="6975" w:type="dxa"/>
            <w:gridSpan w:val="2"/>
            <w:tcBorders>
              <w:top w:val="single" w:color="auto" w:sz="8" w:space="0"/>
              <w:right w:val="single" w:color="auto" w:sz="8" w:space="0"/>
            </w:tcBorders>
            <w:vAlign w:val="center"/>
          </w:tcPr>
          <w:p>
            <w:pPr>
              <w:numPr>
                <w:ilvl w:val="255"/>
                <w:numId w:val="0"/>
              </w:numPr>
              <w:adjustRightInd/>
              <w:snapToGrid w:val="0"/>
              <w:spacing w:line="240" w:lineRule="auto"/>
              <w:jc w:val="center"/>
              <w:rPr>
                <w:rFonts w:ascii="宋体" w:hAnsi="宋体" w:cs="宋体"/>
                <w:sz w:val="18"/>
                <w:szCs w:val="18"/>
              </w:rPr>
            </w:pPr>
            <w:r>
              <w:rPr>
                <w:rFonts w:hint="eastAsia" w:ascii="宋体" w:hAnsi="宋体" w:cs="宋体"/>
                <w:sz w:val="18"/>
                <w:szCs w:val="18"/>
              </w:rPr>
              <w:t>分值区间及要求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2324" w:type="dxa"/>
            <w:vMerge w:val="continue"/>
            <w:tcBorders>
              <w:left w:val="single" w:color="auto" w:sz="8" w:space="0"/>
            </w:tcBorders>
            <w:vAlign w:val="center"/>
          </w:tcPr>
          <w:p>
            <w:pPr>
              <w:numPr>
                <w:ilvl w:val="255"/>
                <w:numId w:val="0"/>
              </w:numPr>
              <w:adjustRightInd/>
              <w:snapToGrid w:val="0"/>
              <w:spacing w:line="240" w:lineRule="auto"/>
              <w:jc w:val="center"/>
              <w:rPr>
                <w:rFonts w:ascii="宋体" w:hAnsi="宋体" w:cs="宋体"/>
                <w:sz w:val="18"/>
                <w:szCs w:val="18"/>
              </w:rPr>
            </w:pPr>
          </w:p>
        </w:tc>
        <w:tc>
          <w:tcPr>
            <w:tcW w:w="3404" w:type="dxa"/>
            <w:vAlign w:val="center"/>
          </w:tcPr>
          <w:p>
            <w:pPr>
              <w:numPr>
                <w:ilvl w:val="255"/>
                <w:numId w:val="0"/>
              </w:numPr>
              <w:adjustRightInd/>
              <w:snapToGrid w:val="0"/>
              <w:spacing w:line="240" w:lineRule="auto"/>
              <w:jc w:val="center"/>
              <w:rPr>
                <w:rFonts w:ascii="宋体" w:hAnsi="宋体" w:cs="宋体"/>
                <w:sz w:val="18"/>
                <w:szCs w:val="18"/>
              </w:rPr>
            </w:pPr>
            <w:r>
              <w:rPr>
                <w:rFonts w:hint="eastAsia" w:ascii="宋体" w:hAnsi="宋体" w:cs="宋体"/>
                <w:sz w:val="18"/>
                <w:szCs w:val="18"/>
              </w:rPr>
              <w:t>控制项</w:t>
            </w:r>
          </w:p>
        </w:tc>
        <w:tc>
          <w:tcPr>
            <w:tcW w:w="3571" w:type="dxa"/>
            <w:tcBorders>
              <w:right w:val="single" w:color="auto" w:sz="8" w:space="0"/>
            </w:tcBorders>
            <w:vAlign w:val="center"/>
          </w:tcPr>
          <w:p>
            <w:pPr>
              <w:numPr>
                <w:ilvl w:val="255"/>
                <w:numId w:val="0"/>
              </w:numPr>
              <w:adjustRightInd/>
              <w:snapToGrid w:val="0"/>
              <w:spacing w:line="240" w:lineRule="auto"/>
              <w:jc w:val="center"/>
              <w:rPr>
                <w:rFonts w:ascii="宋体" w:hAnsi="宋体" w:cs="宋体"/>
                <w:sz w:val="18"/>
                <w:szCs w:val="18"/>
              </w:rPr>
            </w:pPr>
            <w:r>
              <w:rPr>
                <w:rFonts w:hint="eastAsia" w:ascii="宋体" w:hAnsi="宋体" w:cs="宋体"/>
                <w:sz w:val="18"/>
                <w:szCs w:val="18"/>
              </w:rPr>
              <w:t>评分项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2324" w:type="dxa"/>
            <w:tcBorders>
              <w:left w:val="single" w:color="auto" w:sz="8" w:space="0"/>
            </w:tcBorders>
            <w:vAlign w:val="center"/>
          </w:tcPr>
          <w:p>
            <w:pPr>
              <w:numPr>
                <w:ilvl w:val="255"/>
                <w:numId w:val="0"/>
              </w:numPr>
              <w:adjustRightInd/>
              <w:snapToGrid w:val="0"/>
              <w:spacing w:line="240" w:lineRule="auto"/>
              <w:jc w:val="center"/>
              <w:rPr>
                <w:rFonts w:ascii="宋体" w:hAnsi="宋体" w:cs="宋体"/>
                <w:sz w:val="18"/>
                <w:szCs w:val="18"/>
              </w:rPr>
            </w:pPr>
            <w:r>
              <w:rPr>
                <w:rFonts w:hint="eastAsia" w:ascii="宋体" w:hAnsi="宋体" w:cs="宋体"/>
                <w:sz w:val="18"/>
                <w:szCs w:val="18"/>
              </w:rPr>
              <w:t>★</w:t>
            </w:r>
          </w:p>
        </w:tc>
        <w:tc>
          <w:tcPr>
            <w:tcW w:w="3404" w:type="dxa"/>
            <w:vAlign w:val="center"/>
          </w:tcPr>
          <w:p>
            <w:pPr>
              <w:numPr>
                <w:ilvl w:val="255"/>
                <w:numId w:val="0"/>
              </w:numPr>
              <w:adjustRightInd/>
              <w:snapToGrid w:val="0"/>
              <w:spacing w:line="240" w:lineRule="auto"/>
              <w:jc w:val="center"/>
              <w:rPr>
                <w:rFonts w:ascii="宋体" w:hAnsi="宋体" w:cs="宋体"/>
                <w:sz w:val="18"/>
                <w:szCs w:val="18"/>
              </w:rPr>
            </w:pPr>
            <w:r>
              <w:rPr>
                <w:rFonts w:hint="eastAsia" w:ascii="宋体" w:hAnsi="宋体" w:cs="宋体"/>
                <w:sz w:val="18"/>
                <w:szCs w:val="18"/>
              </w:rPr>
              <w:t>满足项不低于6条</w:t>
            </w:r>
          </w:p>
        </w:tc>
        <w:tc>
          <w:tcPr>
            <w:tcW w:w="3571" w:type="dxa"/>
            <w:tcBorders>
              <w:right w:val="single" w:color="auto" w:sz="8" w:space="0"/>
            </w:tcBorders>
            <w:vAlign w:val="center"/>
          </w:tcPr>
          <w:p>
            <w:pPr>
              <w:numPr>
                <w:ilvl w:val="255"/>
                <w:numId w:val="0"/>
              </w:numPr>
              <w:adjustRightInd/>
              <w:snapToGrid w:val="0"/>
              <w:spacing w:line="240" w:lineRule="auto"/>
              <w:jc w:val="center"/>
              <w:rPr>
                <w:rFonts w:ascii="宋体" w:hAnsi="宋体" w:cs="宋体"/>
                <w:sz w:val="18"/>
                <w:szCs w:val="18"/>
              </w:rPr>
            </w:pPr>
            <w:r>
              <w:rPr>
                <w:rFonts w:hint="eastAsia" w:ascii="宋体" w:hAnsi="宋体" w:cs="宋体"/>
                <w:sz w:val="18"/>
                <w:szCs w:val="18"/>
              </w:rPr>
              <w:t>X＜70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2324" w:type="dxa"/>
            <w:tcBorders>
              <w:left w:val="single" w:color="auto" w:sz="8" w:space="0"/>
            </w:tcBorders>
            <w:vAlign w:val="center"/>
          </w:tcPr>
          <w:p>
            <w:pPr>
              <w:numPr>
                <w:ilvl w:val="255"/>
                <w:numId w:val="0"/>
              </w:numPr>
              <w:adjustRightInd/>
              <w:snapToGrid w:val="0"/>
              <w:spacing w:line="240" w:lineRule="auto"/>
              <w:jc w:val="center"/>
              <w:rPr>
                <w:rFonts w:ascii="宋体" w:hAnsi="宋体" w:cs="宋体"/>
                <w:sz w:val="18"/>
                <w:szCs w:val="18"/>
              </w:rPr>
            </w:pPr>
            <w:r>
              <w:rPr>
                <w:rFonts w:hint="eastAsia" w:ascii="宋体" w:hAnsi="宋体" w:cs="宋体"/>
                <w:sz w:val="18"/>
                <w:szCs w:val="18"/>
              </w:rPr>
              <w:t>★★</w:t>
            </w:r>
          </w:p>
        </w:tc>
        <w:tc>
          <w:tcPr>
            <w:tcW w:w="3404" w:type="dxa"/>
            <w:vAlign w:val="center"/>
          </w:tcPr>
          <w:p>
            <w:pPr>
              <w:numPr>
                <w:ilvl w:val="255"/>
                <w:numId w:val="0"/>
              </w:numPr>
              <w:adjustRightInd/>
              <w:snapToGrid w:val="0"/>
              <w:spacing w:line="240" w:lineRule="auto"/>
              <w:jc w:val="center"/>
              <w:rPr>
                <w:rFonts w:ascii="宋体" w:hAnsi="宋体" w:cs="宋体"/>
                <w:sz w:val="18"/>
                <w:szCs w:val="18"/>
              </w:rPr>
            </w:pPr>
            <w:r>
              <w:rPr>
                <w:rFonts w:hint="eastAsia" w:ascii="宋体" w:hAnsi="宋体" w:cs="宋体"/>
                <w:sz w:val="18"/>
                <w:szCs w:val="18"/>
              </w:rPr>
              <w:t>满足项不低于8条</w:t>
            </w:r>
          </w:p>
        </w:tc>
        <w:tc>
          <w:tcPr>
            <w:tcW w:w="3571" w:type="dxa"/>
            <w:tcBorders>
              <w:right w:val="single" w:color="auto" w:sz="8" w:space="0"/>
            </w:tcBorders>
            <w:vAlign w:val="center"/>
          </w:tcPr>
          <w:p>
            <w:pPr>
              <w:numPr>
                <w:ilvl w:val="255"/>
                <w:numId w:val="0"/>
              </w:numPr>
              <w:adjustRightInd/>
              <w:snapToGrid w:val="0"/>
              <w:spacing w:line="240" w:lineRule="auto"/>
              <w:jc w:val="center"/>
              <w:rPr>
                <w:rFonts w:ascii="宋体" w:hAnsi="宋体" w:cs="宋体"/>
                <w:sz w:val="18"/>
                <w:szCs w:val="18"/>
              </w:rPr>
            </w:pPr>
            <w:r>
              <w:rPr>
                <w:rFonts w:hint="eastAsia" w:ascii="宋体" w:hAnsi="宋体" w:cs="宋体"/>
                <w:sz w:val="18"/>
                <w:szCs w:val="18"/>
              </w:rPr>
              <w:t>70≤X＜80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2324" w:type="dxa"/>
            <w:tcBorders>
              <w:left w:val="single" w:color="auto" w:sz="8" w:space="0"/>
            </w:tcBorders>
            <w:vAlign w:val="center"/>
          </w:tcPr>
          <w:p>
            <w:pPr>
              <w:numPr>
                <w:ilvl w:val="255"/>
                <w:numId w:val="0"/>
              </w:numPr>
              <w:adjustRightInd/>
              <w:snapToGrid w:val="0"/>
              <w:spacing w:line="240" w:lineRule="auto"/>
              <w:jc w:val="center"/>
              <w:rPr>
                <w:rFonts w:ascii="宋体" w:hAnsi="宋体" w:cs="宋体"/>
                <w:sz w:val="18"/>
                <w:szCs w:val="18"/>
              </w:rPr>
            </w:pPr>
            <w:r>
              <w:rPr>
                <w:rFonts w:hint="eastAsia" w:ascii="宋体" w:hAnsi="宋体" w:cs="宋体"/>
                <w:sz w:val="18"/>
                <w:szCs w:val="18"/>
              </w:rPr>
              <w:t>★★★</w:t>
            </w:r>
          </w:p>
        </w:tc>
        <w:tc>
          <w:tcPr>
            <w:tcW w:w="3404" w:type="dxa"/>
            <w:vAlign w:val="center"/>
          </w:tcPr>
          <w:p>
            <w:pPr>
              <w:numPr>
                <w:ilvl w:val="255"/>
                <w:numId w:val="0"/>
              </w:numPr>
              <w:adjustRightInd/>
              <w:snapToGrid w:val="0"/>
              <w:spacing w:line="240" w:lineRule="auto"/>
              <w:jc w:val="center"/>
              <w:rPr>
                <w:rFonts w:ascii="宋体" w:hAnsi="宋体" w:cs="宋体"/>
                <w:sz w:val="18"/>
                <w:szCs w:val="18"/>
              </w:rPr>
            </w:pPr>
            <w:r>
              <w:rPr>
                <w:rFonts w:hint="eastAsia" w:ascii="宋体" w:hAnsi="宋体" w:cs="宋体"/>
                <w:sz w:val="18"/>
                <w:szCs w:val="18"/>
              </w:rPr>
              <w:t>满足项不低于9条</w:t>
            </w:r>
          </w:p>
        </w:tc>
        <w:tc>
          <w:tcPr>
            <w:tcW w:w="3571" w:type="dxa"/>
            <w:tcBorders>
              <w:right w:val="single" w:color="auto" w:sz="8" w:space="0"/>
            </w:tcBorders>
            <w:vAlign w:val="center"/>
          </w:tcPr>
          <w:p>
            <w:pPr>
              <w:numPr>
                <w:ilvl w:val="255"/>
                <w:numId w:val="0"/>
              </w:numPr>
              <w:adjustRightInd/>
              <w:snapToGrid w:val="0"/>
              <w:spacing w:line="240" w:lineRule="auto"/>
              <w:jc w:val="center"/>
              <w:rPr>
                <w:rFonts w:ascii="宋体" w:hAnsi="宋体" w:cs="宋体"/>
                <w:sz w:val="18"/>
                <w:szCs w:val="18"/>
              </w:rPr>
            </w:pPr>
            <w:r>
              <w:rPr>
                <w:rFonts w:hint="eastAsia" w:ascii="宋体" w:hAnsi="宋体" w:cs="宋体"/>
                <w:sz w:val="18"/>
                <w:szCs w:val="18"/>
              </w:rPr>
              <w:t>80≤X＜85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2324" w:type="dxa"/>
            <w:tcBorders>
              <w:left w:val="single" w:color="auto" w:sz="8" w:space="0"/>
              <w:bottom w:val="single" w:color="auto" w:sz="8" w:space="0"/>
            </w:tcBorders>
            <w:vAlign w:val="center"/>
          </w:tcPr>
          <w:p>
            <w:pPr>
              <w:numPr>
                <w:ilvl w:val="255"/>
                <w:numId w:val="0"/>
              </w:numPr>
              <w:adjustRightInd/>
              <w:snapToGrid w:val="0"/>
              <w:spacing w:line="240" w:lineRule="auto"/>
              <w:jc w:val="center"/>
              <w:rPr>
                <w:rFonts w:ascii="宋体" w:hAnsi="宋体" w:cs="宋体"/>
                <w:sz w:val="18"/>
                <w:szCs w:val="18"/>
              </w:rPr>
            </w:pPr>
            <w:bookmarkStart w:id="107" w:name="OLE_LINK4"/>
            <w:r>
              <w:rPr>
                <w:rFonts w:hint="eastAsia" w:ascii="宋体" w:hAnsi="宋体" w:cs="宋体"/>
                <w:sz w:val="18"/>
                <w:szCs w:val="18"/>
              </w:rPr>
              <w:t>★★★★</w:t>
            </w:r>
          </w:p>
        </w:tc>
        <w:tc>
          <w:tcPr>
            <w:tcW w:w="3404" w:type="dxa"/>
            <w:tcBorders>
              <w:bottom w:val="single" w:color="auto" w:sz="8" w:space="0"/>
            </w:tcBorders>
            <w:vAlign w:val="center"/>
          </w:tcPr>
          <w:p>
            <w:pPr>
              <w:numPr>
                <w:ilvl w:val="255"/>
                <w:numId w:val="0"/>
              </w:numPr>
              <w:adjustRightInd/>
              <w:snapToGrid w:val="0"/>
              <w:spacing w:line="240" w:lineRule="auto"/>
              <w:jc w:val="center"/>
              <w:rPr>
                <w:rFonts w:ascii="宋体" w:hAnsi="宋体" w:cs="宋体"/>
                <w:sz w:val="18"/>
                <w:szCs w:val="18"/>
              </w:rPr>
            </w:pPr>
            <w:r>
              <w:rPr>
                <w:rFonts w:hint="eastAsia" w:ascii="宋体" w:hAnsi="宋体" w:cs="宋体"/>
                <w:sz w:val="18"/>
                <w:szCs w:val="18"/>
              </w:rPr>
              <w:t>全部满足</w:t>
            </w:r>
          </w:p>
        </w:tc>
        <w:tc>
          <w:tcPr>
            <w:tcW w:w="3571" w:type="dxa"/>
            <w:tcBorders>
              <w:bottom w:val="single" w:color="auto" w:sz="8" w:space="0"/>
              <w:right w:val="single" w:color="auto" w:sz="8" w:space="0"/>
            </w:tcBorders>
            <w:vAlign w:val="center"/>
          </w:tcPr>
          <w:p>
            <w:pPr>
              <w:numPr>
                <w:ilvl w:val="255"/>
                <w:numId w:val="0"/>
              </w:numPr>
              <w:adjustRightInd/>
              <w:snapToGrid w:val="0"/>
              <w:spacing w:line="240" w:lineRule="auto"/>
              <w:jc w:val="center"/>
              <w:rPr>
                <w:rFonts w:ascii="宋体" w:hAnsi="宋体" w:cs="宋体"/>
                <w:sz w:val="18"/>
                <w:szCs w:val="18"/>
              </w:rPr>
            </w:pPr>
            <w:r>
              <w:rPr>
                <w:rFonts w:hint="eastAsia" w:ascii="宋体" w:hAnsi="宋体" w:cs="宋体"/>
                <w:sz w:val="18"/>
                <w:szCs w:val="18"/>
              </w:rPr>
              <w:t>X≥85</w:t>
            </w:r>
          </w:p>
        </w:tc>
      </w:tr>
    </w:tbl>
    <w:p>
      <w:pPr>
        <w:pStyle w:val="213"/>
        <w:numPr>
          <w:ilvl w:val="1"/>
          <w:numId w:val="0"/>
        </w:numPr>
      </w:pPr>
    </w:p>
    <w:p>
      <w:pPr>
        <w:pStyle w:val="213"/>
      </w:pPr>
      <w:r>
        <w:rPr>
          <w:rFonts w:hint="eastAsia"/>
        </w:rPr>
        <w:t>预拌混凝土绿色生产评价包括控制项和评分项。满足控制项低于6条时，绿色生产评价结果为不通过；评分项指标由厂区建设与管理、设备设施、预拌混凝土绿色设计、生产管理、控制要求和碳排放管理六类指标组成。</w:t>
      </w:r>
    </w:p>
    <w:bookmarkEnd w:id="107"/>
    <w:p>
      <w:pPr>
        <w:pStyle w:val="213"/>
      </w:pPr>
      <w:r>
        <w:rPr>
          <w:rFonts w:hint="eastAsia"/>
        </w:rPr>
        <w:t>控制项应包括</w:t>
      </w:r>
      <w:r>
        <w:rPr>
          <w:rFonts w:hint="eastAsia"/>
          <w:lang w:val="en-US" w:eastAsia="zh-CN"/>
        </w:rPr>
        <w:t>以下内容</w:t>
      </w:r>
      <w:r>
        <w:rPr>
          <w:rFonts w:hint="eastAsia"/>
        </w:rPr>
        <w:t>：</w:t>
      </w:r>
    </w:p>
    <w:p>
      <w:pPr>
        <w:pStyle w:val="130"/>
        <w:numPr>
          <w:ilvl w:val="0"/>
          <w:numId w:val="0"/>
        </w:numPr>
        <w:ind w:left="425"/>
      </w:pPr>
      <w:r>
        <w:rPr>
          <w:rFonts w:hint="eastAsia"/>
        </w:rPr>
        <w:t>a)  企业应按《质量管理体系 要求》GB/T 19001、《环境管理体系 要求及使用指南》GB/T 24001建立并运行质量管理体系和环境管理体系；</w:t>
      </w:r>
    </w:p>
    <w:p>
      <w:pPr>
        <w:pStyle w:val="130"/>
        <w:numPr>
          <w:ilvl w:val="0"/>
          <w:numId w:val="0"/>
        </w:numPr>
        <w:ind w:left="425"/>
      </w:pPr>
      <w:r>
        <w:rPr>
          <w:rFonts w:hint="eastAsia"/>
        </w:rPr>
        <w:t>b)  取得三级及以上安全生产标准化证书；</w:t>
      </w:r>
    </w:p>
    <w:p>
      <w:pPr>
        <w:pStyle w:val="130"/>
        <w:numPr>
          <w:ilvl w:val="0"/>
          <w:numId w:val="0"/>
        </w:numPr>
        <w:ind w:left="425"/>
      </w:pPr>
      <w:r>
        <w:rPr>
          <w:rFonts w:hint="eastAsia"/>
        </w:rPr>
        <w:t>c)  生产过程产生废弃物利用率达100%；</w:t>
      </w:r>
    </w:p>
    <w:p>
      <w:pPr>
        <w:pStyle w:val="130"/>
        <w:numPr>
          <w:ilvl w:val="0"/>
          <w:numId w:val="0"/>
        </w:numPr>
        <w:ind w:left="425"/>
      </w:pPr>
      <w:r>
        <w:rPr>
          <w:rFonts w:hint="eastAsia"/>
        </w:rPr>
        <w:t>d)  生产过程废水利用率达100%；</w:t>
      </w:r>
    </w:p>
    <w:p>
      <w:pPr>
        <w:pStyle w:val="130"/>
        <w:numPr>
          <w:ilvl w:val="0"/>
          <w:numId w:val="0"/>
        </w:numPr>
        <w:ind w:left="425"/>
      </w:pPr>
      <w:r>
        <w:rPr>
          <w:rFonts w:hint="eastAsia"/>
        </w:rPr>
        <w:t>e)  厂区道路100%硬化且质量良好；</w:t>
      </w:r>
    </w:p>
    <w:p>
      <w:pPr>
        <w:pStyle w:val="130"/>
        <w:numPr>
          <w:ilvl w:val="0"/>
          <w:numId w:val="0"/>
        </w:numPr>
        <w:ind w:left="425"/>
      </w:pPr>
      <w:r>
        <w:rPr>
          <w:rFonts w:hint="eastAsia"/>
        </w:rPr>
        <w:t>f)  生产设备安装除尘装置并正常运转；</w:t>
      </w:r>
    </w:p>
    <w:p>
      <w:pPr>
        <w:pStyle w:val="130"/>
        <w:numPr>
          <w:ilvl w:val="0"/>
          <w:numId w:val="0"/>
        </w:numPr>
        <w:ind w:left="425"/>
      </w:pPr>
      <w:r>
        <w:rPr>
          <w:rFonts w:hint="eastAsia"/>
        </w:rPr>
        <w:t>g)  废水、废浆处置系统完善、功能良好并正常运转；</w:t>
      </w:r>
    </w:p>
    <w:p>
      <w:pPr>
        <w:pStyle w:val="130"/>
        <w:numPr>
          <w:ilvl w:val="0"/>
          <w:numId w:val="0"/>
        </w:numPr>
        <w:ind w:left="425"/>
      </w:pPr>
      <w:r>
        <w:rPr>
          <w:rFonts w:hint="eastAsia"/>
        </w:rPr>
        <w:t>h)  生产排放物不向厂区以外直接排放；</w:t>
      </w:r>
    </w:p>
    <w:p>
      <w:pPr>
        <w:pStyle w:val="130"/>
        <w:numPr>
          <w:ilvl w:val="0"/>
          <w:numId w:val="0"/>
        </w:numPr>
        <w:ind w:left="425"/>
      </w:pPr>
      <w:r>
        <w:rPr>
          <w:rFonts w:hint="eastAsia"/>
        </w:rPr>
        <w:t>i)  定期开展内外部监测并形成监测报告和检测、设施使用及检查或维护记录；</w:t>
      </w:r>
    </w:p>
    <w:p>
      <w:pPr>
        <w:pStyle w:val="130"/>
        <w:numPr>
          <w:ilvl w:val="0"/>
          <w:numId w:val="0"/>
        </w:numPr>
        <w:ind w:left="425"/>
      </w:pPr>
      <w:r>
        <w:rPr>
          <w:rFonts w:hint="eastAsia"/>
        </w:rPr>
        <w:t xml:space="preserve">g) </w:t>
      </w:r>
      <w:r>
        <w:rPr>
          <w:rFonts w:hint="eastAsia"/>
          <w:lang w:val="en-US" w:eastAsia="zh-CN"/>
        </w:rPr>
        <w:t xml:space="preserve"> </w:t>
      </w:r>
      <w:r>
        <w:rPr>
          <w:rFonts w:hint="eastAsia"/>
        </w:rPr>
        <w:t>取得绿色建材产品认证。</w:t>
      </w:r>
    </w:p>
    <w:p>
      <w:pPr>
        <w:pStyle w:val="213"/>
      </w:pPr>
      <w:r>
        <w:rPr>
          <w:rFonts w:hint="eastAsia"/>
        </w:rPr>
        <w:t>评分项指标应符合表2。</w:t>
      </w:r>
    </w:p>
    <w:p>
      <w:pPr>
        <w:numPr>
          <w:ilvl w:val="255"/>
          <w:numId w:val="0"/>
        </w:numPr>
        <w:adjustRightInd/>
        <w:spacing w:before="156" w:beforeLines="50" w:after="156" w:afterLines="50" w:line="240" w:lineRule="auto"/>
        <w:jc w:val="center"/>
        <w:rPr>
          <w:rFonts w:ascii="黑体" w:hAnsi="黑体" w:eastAsia="黑体" w:cs="黑体"/>
          <w:b/>
          <w:bCs/>
        </w:rPr>
      </w:pPr>
      <w:r>
        <w:rPr>
          <w:rFonts w:hint="eastAsia" w:ascii="黑体" w:hAnsi="黑体" w:eastAsia="黑体" w:cs="黑体"/>
        </w:rPr>
        <w:t>表2  评分项指标</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8"/>
        <w:gridCol w:w="2415"/>
        <w:gridCol w:w="4922"/>
        <w:gridCol w:w="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408" w:type="dxa"/>
            <w:tcBorders>
              <w:top w:val="single" w:color="auto" w:sz="8" w:space="0"/>
              <w:left w:val="single" w:color="auto" w:sz="8"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r>
              <w:rPr>
                <w:rFonts w:hint="eastAsia" w:ascii="宋体" w:hAnsi="宋体" w:cs="宋体"/>
                <w:sz w:val="18"/>
                <w:szCs w:val="18"/>
              </w:rPr>
              <w:t>评价指标</w:t>
            </w:r>
          </w:p>
        </w:tc>
        <w:tc>
          <w:tcPr>
            <w:tcW w:w="2415" w:type="dxa"/>
            <w:tcBorders>
              <w:top w:val="single" w:color="auto" w:sz="8"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r>
              <w:rPr>
                <w:rFonts w:hint="eastAsia" w:ascii="宋体" w:hAnsi="宋体" w:cs="宋体"/>
                <w:sz w:val="18"/>
                <w:szCs w:val="18"/>
              </w:rPr>
              <w:t>评价指标内容</w:t>
            </w:r>
          </w:p>
        </w:tc>
        <w:tc>
          <w:tcPr>
            <w:tcW w:w="4922" w:type="dxa"/>
            <w:tcBorders>
              <w:top w:val="single" w:color="auto" w:sz="8"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r>
              <w:rPr>
                <w:rFonts w:hint="eastAsia" w:ascii="宋体" w:hAnsi="宋体" w:cs="宋体"/>
                <w:sz w:val="18"/>
                <w:szCs w:val="18"/>
              </w:rPr>
              <w:t>评价要求</w:t>
            </w:r>
          </w:p>
        </w:tc>
        <w:tc>
          <w:tcPr>
            <w:tcW w:w="740" w:type="dxa"/>
            <w:tcBorders>
              <w:top w:val="single" w:color="auto" w:sz="8" w:space="0"/>
              <w:right w:val="single" w:color="auto" w:sz="8"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r>
              <w:rPr>
                <w:rFonts w:hint="eastAsia" w:ascii="宋体" w:hAnsi="宋体" w:cs="宋体"/>
                <w:sz w:val="18"/>
                <w:szCs w:val="18"/>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408" w:type="dxa"/>
            <w:vMerge w:val="restart"/>
            <w:tcBorders>
              <w:left w:val="single" w:color="auto" w:sz="8"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r>
              <w:rPr>
                <w:rFonts w:hint="eastAsia" w:ascii="宋体" w:hAnsi="宋体" w:cs="宋体"/>
                <w:sz w:val="18"/>
                <w:szCs w:val="18"/>
              </w:rPr>
              <w:t>厂区建设与管理</w:t>
            </w:r>
          </w:p>
        </w:tc>
        <w:tc>
          <w:tcPr>
            <w:tcW w:w="2415" w:type="dxa"/>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r>
              <w:rPr>
                <w:rFonts w:hint="eastAsia" w:ascii="宋体" w:hAnsi="宋体" w:cs="宋体"/>
                <w:sz w:val="18"/>
                <w:szCs w:val="18"/>
              </w:rPr>
              <w:t>功能分区明确</w:t>
            </w:r>
          </w:p>
        </w:tc>
        <w:tc>
          <w:tcPr>
            <w:tcW w:w="4922" w:type="dxa"/>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ind w:firstLine="180" w:firstLineChars="100"/>
              <w:jc w:val="left"/>
              <w:textAlignment w:val="auto"/>
              <w:rPr>
                <w:rFonts w:ascii="宋体" w:hAnsi="宋体" w:cs="宋体"/>
                <w:sz w:val="18"/>
                <w:szCs w:val="18"/>
              </w:rPr>
            </w:pPr>
            <w:r>
              <w:rPr>
                <w:rFonts w:hint="eastAsia" w:ascii="宋体" w:hAnsi="宋体" w:cs="宋体"/>
                <w:sz w:val="18"/>
                <w:szCs w:val="18"/>
              </w:rPr>
              <w:t>厂区内生产区、工作区、生活区采取分区布置，得3分。</w:t>
            </w:r>
          </w:p>
        </w:tc>
        <w:tc>
          <w:tcPr>
            <w:tcW w:w="740" w:type="dxa"/>
            <w:vMerge w:val="restart"/>
            <w:tcBorders>
              <w:right w:val="single" w:color="auto" w:sz="8"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r>
              <w:rPr>
                <w:rFonts w:hint="eastAsia" w:ascii="宋体" w:hAnsi="宋体" w:cs="宋体"/>
                <w:sz w:val="18"/>
                <w:szCs w:val="18"/>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1408" w:type="dxa"/>
            <w:vMerge w:val="continue"/>
            <w:tcBorders>
              <w:left w:val="single" w:color="auto" w:sz="8"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p>
        </w:tc>
        <w:tc>
          <w:tcPr>
            <w:tcW w:w="2415" w:type="dxa"/>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r>
              <w:rPr>
                <w:rFonts w:hint="eastAsia" w:ascii="宋体" w:hAnsi="宋体" w:cs="宋体"/>
                <w:sz w:val="18"/>
                <w:szCs w:val="18"/>
              </w:rPr>
              <w:t>未硬化空地的绿化率</w:t>
            </w:r>
          </w:p>
        </w:tc>
        <w:tc>
          <w:tcPr>
            <w:tcW w:w="4922" w:type="dxa"/>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ind w:firstLine="180" w:firstLineChars="100"/>
              <w:jc w:val="left"/>
              <w:textAlignment w:val="auto"/>
              <w:rPr>
                <w:rFonts w:ascii="宋体" w:hAnsi="宋体" w:cs="宋体"/>
                <w:sz w:val="18"/>
                <w:szCs w:val="18"/>
              </w:rPr>
            </w:pPr>
            <w:r>
              <w:rPr>
                <w:rFonts w:hint="eastAsia" w:ascii="宋体" w:hAnsi="宋体" w:cs="宋体"/>
                <w:sz w:val="18"/>
                <w:szCs w:val="18"/>
              </w:rPr>
              <w:t>未硬化空地绿化率达到80%以上，得3分。</w:t>
            </w:r>
          </w:p>
        </w:tc>
        <w:tc>
          <w:tcPr>
            <w:tcW w:w="740" w:type="dxa"/>
            <w:vMerge w:val="continue"/>
            <w:tcBorders>
              <w:right w:val="single" w:color="auto" w:sz="8"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1408" w:type="dxa"/>
            <w:vMerge w:val="continue"/>
            <w:tcBorders>
              <w:left w:val="single" w:color="auto" w:sz="8"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p>
        </w:tc>
        <w:tc>
          <w:tcPr>
            <w:tcW w:w="2415" w:type="dxa"/>
            <w:tcBorders>
              <w:bottom w:val="single" w:color="auto" w:sz="4"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r>
              <w:rPr>
                <w:rFonts w:hint="eastAsia" w:ascii="宋体" w:hAnsi="宋体" w:cs="宋体"/>
                <w:sz w:val="18"/>
                <w:szCs w:val="18"/>
              </w:rPr>
              <w:t>生产废弃物存放处的设置</w:t>
            </w:r>
          </w:p>
        </w:tc>
        <w:tc>
          <w:tcPr>
            <w:tcW w:w="4922" w:type="dxa"/>
            <w:tcBorders>
              <w:bottom w:val="single" w:color="auto" w:sz="4"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ind w:firstLine="180" w:firstLineChars="100"/>
              <w:jc w:val="left"/>
              <w:textAlignment w:val="auto"/>
              <w:rPr>
                <w:rFonts w:ascii="宋体" w:hAnsi="宋体" w:cs="宋体"/>
                <w:sz w:val="18"/>
                <w:szCs w:val="18"/>
              </w:rPr>
            </w:pPr>
            <w:r>
              <w:rPr>
                <w:rFonts w:hint="eastAsia" w:ascii="宋体" w:hAnsi="宋体" w:cs="宋体"/>
                <w:sz w:val="18"/>
                <w:szCs w:val="18"/>
              </w:rPr>
              <w:t>设置废弃物单独存储处得2分；</w:t>
            </w:r>
          </w:p>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ind w:firstLine="180" w:firstLineChars="100"/>
              <w:jc w:val="left"/>
              <w:textAlignment w:val="auto"/>
              <w:rPr>
                <w:rFonts w:ascii="宋体" w:hAnsi="宋体" w:cs="宋体"/>
                <w:sz w:val="18"/>
                <w:szCs w:val="18"/>
              </w:rPr>
            </w:pPr>
            <w:r>
              <w:rPr>
                <w:rFonts w:hint="eastAsia" w:ascii="宋体" w:hAnsi="宋体" w:cs="宋体"/>
                <w:sz w:val="18"/>
                <w:szCs w:val="18"/>
              </w:rPr>
              <w:t>废弃物分类存放，集中处理，得2分。</w:t>
            </w:r>
          </w:p>
        </w:tc>
        <w:tc>
          <w:tcPr>
            <w:tcW w:w="740" w:type="dxa"/>
            <w:vMerge w:val="continue"/>
            <w:tcBorders>
              <w:right w:val="single" w:color="auto" w:sz="8"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1408" w:type="dxa"/>
            <w:vMerge w:val="continue"/>
            <w:tcBorders>
              <w:left w:val="single" w:color="auto" w:sz="8"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p>
        </w:tc>
        <w:tc>
          <w:tcPr>
            <w:tcW w:w="2415" w:type="dxa"/>
            <w:tcBorders>
              <w:top w:val="single" w:color="auto" w:sz="4"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r>
              <w:rPr>
                <w:rFonts w:hint="eastAsia" w:ascii="宋体" w:hAnsi="宋体" w:cs="宋体"/>
                <w:sz w:val="18"/>
                <w:szCs w:val="18"/>
              </w:rPr>
              <w:t>整体清洁卫生情况</w:t>
            </w:r>
          </w:p>
        </w:tc>
        <w:tc>
          <w:tcPr>
            <w:tcW w:w="4922" w:type="dxa"/>
            <w:tcBorders>
              <w:top w:val="single" w:color="auto" w:sz="4"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ind w:firstLine="180" w:firstLineChars="100"/>
              <w:jc w:val="left"/>
              <w:textAlignment w:val="auto"/>
              <w:rPr>
                <w:rFonts w:ascii="宋体" w:hAnsi="宋体" w:cs="宋体"/>
                <w:sz w:val="18"/>
                <w:szCs w:val="18"/>
              </w:rPr>
            </w:pPr>
            <w:r>
              <w:rPr>
                <w:rFonts w:hint="eastAsia" w:ascii="宋体" w:hAnsi="宋体" w:cs="宋体"/>
                <w:sz w:val="18"/>
                <w:szCs w:val="18"/>
              </w:rPr>
              <w:t>厂区内、门口环境卫生，按照本标准要求进行管理，卫生情况良好得3分。</w:t>
            </w:r>
          </w:p>
        </w:tc>
        <w:tc>
          <w:tcPr>
            <w:tcW w:w="740" w:type="dxa"/>
            <w:vMerge w:val="continue"/>
            <w:tcBorders>
              <w:right w:val="single" w:color="auto" w:sz="8"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1408" w:type="dxa"/>
            <w:tcBorders>
              <w:left w:val="single" w:color="auto" w:sz="8"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r>
              <w:rPr>
                <w:rFonts w:hint="eastAsia" w:ascii="宋体" w:hAnsi="宋体" w:cs="宋体"/>
                <w:sz w:val="18"/>
                <w:szCs w:val="18"/>
              </w:rPr>
              <w:t>评价指标</w:t>
            </w:r>
          </w:p>
        </w:tc>
        <w:tc>
          <w:tcPr>
            <w:tcW w:w="2415" w:type="dxa"/>
            <w:tcBorders>
              <w:top w:val="single" w:color="auto" w:sz="4"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r>
              <w:rPr>
                <w:rFonts w:hint="eastAsia" w:ascii="宋体" w:hAnsi="宋体" w:cs="宋体"/>
                <w:sz w:val="18"/>
                <w:szCs w:val="18"/>
              </w:rPr>
              <w:t>评价指标内容</w:t>
            </w:r>
          </w:p>
        </w:tc>
        <w:tc>
          <w:tcPr>
            <w:tcW w:w="4922" w:type="dxa"/>
            <w:tcBorders>
              <w:top w:val="single" w:color="auto" w:sz="4"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r>
              <w:rPr>
                <w:rFonts w:hint="eastAsia" w:ascii="宋体" w:hAnsi="宋体" w:cs="宋体"/>
                <w:sz w:val="18"/>
                <w:szCs w:val="18"/>
              </w:rPr>
              <w:t>评价要求</w:t>
            </w:r>
          </w:p>
        </w:tc>
        <w:tc>
          <w:tcPr>
            <w:tcW w:w="740" w:type="dxa"/>
            <w:tcBorders>
              <w:right w:val="single" w:color="auto" w:sz="8"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r>
              <w:rPr>
                <w:rFonts w:hint="eastAsia" w:ascii="宋体" w:hAnsi="宋体" w:cs="宋体"/>
                <w:sz w:val="18"/>
                <w:szCs w:val="18"/>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408" w:type="dxa"/>
            <w:vMerge w:val="restart"/>
            <w:tcBorders>
              <w:left w:val="single" w:color="auto" w:sz="8"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r>
              <w:rPr>
                <w:rFonts w:hint="eastAsia" w:ascii="宋体" w:hAnsi="宋体" w:cs="宋体"/>
                <w:sz w:val="18"/>
                <w:szCs w:val="18"/>
              </w:rPr>
              <w:t>设备设施</w:t>
            </w:r>
          </w:p>
        </w:tc>
        <w:tc>
          <w:tcPr>
            <w:tcW w:w="2415" w:type="dxa"/>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r>
              <w:rPr>
                <w:rFonts w:hint="eastAsia" w:ascii="宋体" w:hAnsi="宋体" w:cs="宋体"/>
                <w:sz w:val="18"/>
                <w:szCs w:val="18"/>
              </w:rPr>
              <w:t>监测设备</w:t>
            </w:r>
          </w:p>
        </w:tc>
        <w:tc>
          <w:tcPr>
            <w:tcW w:w="4922" w:type="dxa"/>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ind w:firstLine="180" w:firstLineChars="100"/>
              <w:jc w:val="left"/>
              <w:textAlignment w:val="auto"/>
              <w:rPr>
                <w:rFonts w:ascii="宋体" w:hAnsi="宋体" w:cs="宋体"/>
                <w:sz w:val="18"/>
                <w:szCs w:val="18"/>
              </w:rPr>
            </w:pPr>
            <w:r>
              <w:rPr>
                <w:rFonts w:hint="eastAsia" w:ascii="宋体" w:hAnsi="宋体" w:cs="宋体"/>
                <w:sz w:val="18"/>
                <w:szCs w:val="18"/>
              </w:rPr>
              <w:t>具有噪声监控设备得2分；</w:t>
            </w:r>
          </w:p>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ind w:firstLine="180" w:firstLineChars="100"/>
              <w:jc w:val="left"/>
              <w:textAlignment w:val="auto"/>
              <w:rPr>
                <w:rFonts w:ascii="宋体" w:hAnsi="宋体" w:cs="宋体"/>
                <w:sz w:val="18"/>
                <w:szCs w:val="18"/>
              </w:rPr>
            </w:pPr>
            <w:r>
              <w:rPr>
                <w:rFonts w:hint="eastAsia" w:ascii="宋体" w:hAnsi="宋体" w:cs="宋体"/>
                <w:sz w:val="18"/>
                <w:szCs w:val="18"/>
              </w:rPr>
              <w:t>具有生产性粉尘监控设备得2分。</w:t>
            </w:r>
          </w:p>
        </w:tc>
        <w:tc>
          <w:tcPr>
            <w:tcW w:w="740" w:type="dxa"/>
            <w:vMerge w:val="restart"/>
            <w:tcBorders>
              <w:right w:val="single" w:color="auto" w:sz="8"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r>
              <w:rPr>
                <w:rFonts w:hint="eastAsia" w:ascii="宋体" w:hAnsi="宋体" w:cs="宋体"/>
                <w:sz w:val="18"/>
                <w:szCs w:val="18"/>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1408" w:type="dxa"/>
            <w:vMerge w:val="continue"/>
            <w:tcBorders>
              <w:left w:val="single" w:color="auto" w:sz="8"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p>
        </w:tc>
        <w:tc>
          <w:tcPr>
            <w:tcW w:w="2415" w:type="dxa"/>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r>
              <w:rPr>
                <w:rFonts w:hint="eastAsia" w:ascii="宋体" w:hAnsi="宋体" w:cs="宋体"/>
                <w:sz w:val="18"/>
                <w:szCs w:val="18"/>
              </w:rPr>
              <w:t>清洗装置</w:t>
            </w:r>
          </w:p>
        </w:tc>
        <w:tc>
          <w:tcPr>
            <w:tcW w:w="4922" w:type="dxa"/>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ind w:firstLine="180" w:firstLineChars="100"/>
              <w:jc w:val="left"/>
              <w:textAlignment w:val="auto"/>
              <w:rPr>
                <w:rFonts w:ascii="宋体" w:hAnsi="宋体" w:cs="宋体"/>
                <w:sz w:val="18"/>
                <w:szCs w:val="18"/>
              </w:rPr>
            </w:pPr>
            <w:r>
              <w:rPr>
                <w:rFonts w:hint="eastAsia" w:ascii="宋体" w:hAnsi="宋体" w:cs="宋体"/>
                <w:sz w:val="18"/>
                <w:szCs w:val="18"/>
              </w:rPr>
              <w:t>搅拌机设置清洗装置得1分；</w:t>
            </w:r>
          </w:p>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ind w:firstLine="180" w:firstLineChars="100"/>
              <w:jc w:val="left"/>
              <w:textAlignment w:val="auto"/>
              <w:rPr>
                <w:rFonts w:ascii="宋体" w:hAnsi="宋体" w:cs="宋体"/>
                <w:sz w:val="18"/>
                <w:szCs w:val="18"/>
              </w:rPr>
            </w:pPr>
            <w:r>
              <w:rPr>
                <w:rFonts w:hint="eastAsia" w:ascii="宋体" w:hAnsi="宋体" w:cs="宋体"/>
                <w:sz w:val="18"/>
                <w:szCs w:val="18"/>
              </w:rPr>
              <w:t>搅拌运输车设置清洗装置得2分。</w:t>
            </w:r>
          </w:p>
        </w:tc>
        <w:tc>
          <w:tcPr>
            <w:tcW w:w="740" w:type="dxa"/>
            <w:vMerge w:val="continue"/>
            <w:tcBorders>
              <w:right w:val="single" w:color="auto" w:sz="8"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1408" w:type="dxa"/>
            <w:vMerge w:val="continue"/>
            <w:tcBorders>
              <w:left w:val="single" w:color="auto" w:sz="8"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p>
        </w:tc>
        <w:tc>
          <w:tcPr>
            <w:tcW w:w="2415" w:type="dxa"/>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r>
              <w:rPr>
                <w:rFonts w:hint="eastAsia" w:ascii="宋体" w:hAnsi="宋体" w:cs="宋体"/>
                <w:sz w:val="18"/>
                <w:szCs w:val="18"/>
              </w:rPr>
              <w:t>防喷溅设施</w:t>
            </w:r>
          </w:p>
        </w:tc>
        <w:tc>
          <w:tcPr>
            <w:tcW w:w="4922" w:type="dxa"/>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ind w:firstLine="180" w:firstLineChars="100"/>
              <w:jc w:val="left"/>
              <w:textAlignment w:val="auto"/>
              <w:rPr>
                <w:rFonts w:ascii="宋体" w:hAnsi="宋体" w:cs="宋体"/>
                <w:sz w:val="18"/>
                <w:szCs w:val="18"/>
              </w:rPr>
            </w:pPr>
            <w:r>
              <w:rPr>
                <w:rFonts w:hint="eastAsia" w:ascii="宋体" w:hAnsi="宋体" w:cs="宋体"/>
                <w:sz w:val="18"/>
                <w:szCs w:val="18"/>
              </w:rPr>
              <w:t>搅拌楼下料口设置防喷溅设备，如软管等得1分。</w:t>
            </w:r>
          </w:p>
        </w:tc>
        <w:tc>
          <w:tcPr>
            <w:tcW w:w="740" w:type="dxa"/>
            <w:vMerge w:val="continue"/>
            <w:tcBorders>
              <w:right w:val="single" w:color="auto" w:sz="8"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1408" w:type="dxa"/>
            <w:vMerge w:val="continue"/>
            <w:tcBorders>
              <w:left w:val="single" w:color="auto" w:sz="8"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p>
        </w:tc>
        <w:tc>
          <w:tcPr>
            <w:tcW w:w="2415" w:type="dxa"/>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r>
              <w:rPr>
                <w:rFonts w:hint="eastAsia" w:ascii="宋体" w:hAnsi="宋体" w:cs="宋体"/>
                <w:sz w:val="18"/>
                <w:szCs w:val="18"/>
              </w:rPr>
              <w:t>配料仓与皮带输送机封闭情况</w:t>
            </w:r>
          </w:p>
        </w:tc>
        <w:tc>
          <w:tcPr>
            <w:tcW w:w="4922" w:type="dxa"/>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ind w:firstLine="180" w:firstLineChars="100"/>
              <w:jc w:val="left"/>
              <w:textAlignment w:val="auto"/>
              <w:rPr>
                <w:rFonts w:ascii="宋体" w:hAnsi="宋体" w:cs="宋体"/>
                <w:sz w:val="18"/>
                <w:szCs w:val="18"/>
              </w:rPr>
            </w:pPr>
            <w:r>
              <w:rPr>
                <w:rFonts w:hint="eastAsia" w:ascii="宋体" w:hAnsi="宋体" w:cs="宋体"/>
                <w:sz w:val="18"/>
                <w:szCs w:val="18"/>
              </w:rPr>
              <w:t>配料仓封闭得2分；</w:t>
            </w:r>
          </w:p>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ind w:firstLine="180" w:firstLineChars="100"/>
              <w:jc w:val="left"/>
              <w:textAlignment w:val="auto"/>
              <w:rPr>
                <w:rFonts w:ascii="宋体" w:hAnsi="宋体" w:cs="宋体"/>
                <w:sz w:val="18"/>
                <w:szCs w:val="18"/>
              </w:rPr>
            </w:pPr>
            <w:r>
              <w:rPr>
                <w:rFonts w:hint="eastAsia" w:ascii="宋体" w:hAnsi="宋体" w:cs="宋体"/>
                <w:sz w:val="18"/>
                <w:szCs w:val="18"/>
              </w:rPr>
              <w:t>室外骨料输送皮带封闭得2分。</w:t>
            </w:r>
          </w:p>
        </w:tc>
        <w:tc>
          <w:tcPr>
            <w:tcW w:w="740" w:type="dxa"/>
            <w:vMerge w:val="continue"/>
            <w:tcBorders>
              <w:right w:val="single" w:color="auto" w:sz="8"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1408" w:type="dxa"/>
            <w:vMerge w:val="continue"/>
            <w:tcBorders>
              <w:left w:val="single" w:color="auto" w:sz="8"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p>
        </w:tc>
        <w:tc>
          <w:tcPr>
            <w:tcW w:w="2415" w:type="dxa"/>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r>
              <w:rPr>
                <w:rFonts w:hint="eastAsia" w:ascii="宋体" w:hAnsi="宋体" w:cs="宋体"/>
                <w:sz w:val="18"/>
                <w:szCs w:val="18"/>
              </w:rPr>
              <w:t>废弃新拌混凝土处置设备设施配备及运转情况</w:t>
            </w:r>
          </w:p>
        </w:tc>
        <w:tc>
          <w:tcPr>
            <w:tcW w:w="4922" w:type="dxa"/>
            <w:vAlign w:val="center"/>
          </w:tcPr>
          <w:p>
            <w:pPr>
              <w:keepNext w:val="0"/>
              <w:keepLines w:val="0"/>
              <w:pageBreakBefore w:val="0"/>
              <w:widowControl w:val="0"/>
              <w:numPr>
                <w:ilvl w:val="255"/>
                <w:numId w:val="0"/>
              </w:numPr>
              <w:tabs>
                <w:tab w:val="left" w:pos="0"/>
              </w:tabs>
              <w:kinsoku/>
              <w:wordWrap/>
              <w:overflowPunct/>
              <w:topLinePunct w:val="0"/>
              <w:autoSpaceDE/>
              <w:autoSpaceDN/>
              <w:bidi w:val="0"/>
              <w:adjustRightInd/>
              <w:snapToGrid w:val="0"/>
              <w:spacing w:line="280" w:lineRule="exact"/>
              <w:ind w:firstLine="180" w:firstLineChars="100"/>
              <w:jc w:val="left"/>
              <w:textAlignment w:val="auto"/>
              <w:rPr>
                <w:rFonts w:ascii="宋体" w:hAnsi="宋体" w:cs="宋体"/>
                <w:sz w:val="18"/>
                <w:szCs w:val="18"/>
              </w:rPr>
            </w:pPr>
            <w:r>
              <w:rPr>
                <w:rFonts w:hint="eastAsia" w:ascii="宋体" w:hAnsi="宋体" w:cs="宋体"/>
                <w:sz w:val="18"/>
                <w:szCs w:val="18"/>
              </w:rPr>
              <w:t>具有处置废弃新拌混凝土设备，且运行良好，如砂石分离机、小型构件成型设备等得4分。</w:t>
            </w:r>
          </w:p>
        </w:tc>
        <w:tc>
          <w:tcPr>
            <w:tcW w:w="740" w:type="dxa"/>
            <w:vMerge w:val="continue"/>
            <w:tcBorders>
              <w:right w:val="single" w:color="auto" w:sz="8"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1408" w:type="dxa"/>
            <w:vMerge w:val="continue"/>
            <w:tcBorders>
              <w:left w:val="single" w:color="auto" w:sz="8"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p>
        </w:tc>
        <w:tc>
          <w:tcPr>
            <w:tcW w:w="2415" w:type="dxa"/>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r>
              <w:rPr>
                <w:rFonts w:hint="eastAsia" w:ascii="宋体" w:hAnsi="宋体" w:cs="宋体"/>
                <w:sz w:val="18"/>
                <w:szCs w:val="18"/>
              </w:rPr>
              <w:t>料仓标识和料位控制系统</w:t>
            </w:r>
          </w:p>
        </w:tc>
        <w:tc>
          <w:tcPr>
            <w:tcW w:w="4922" w:type="dxa"/>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ind w:firstLine="180" w:firstLineChars="100"/>
              <w:jc w:val="left"/>
              <w:textAlignment w:val="auto"/>
              <w:rPr>
                <w:rFonts w:ascii="宋体" w:hAnsi="宋体" w:cs="宋体"/>
                <w:sz w:val="18"/>
                <w:szCs w:val="18"/>
              </w:rPr>
            </w:pPr>
            <w:r>
              <w:rPr>
                <w:rFonts w:hint="eastAsia" w:ascii="宋体" w:hAnsi="宋体" w:cs="宋体"/>
                <w:sz w:val="18"/>
                <w:szCs w:val="18"/>
              </w:rPr>
              <w:t>粉料仓标识清晰得2分；</w:t>
            </w:r>
          </w:p>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ind w:firstLine="180" w:firstLineChars="100"/>
              <w:jc w:val="left"/>
              <w:textAlignment w:val="auto"/>
              <w:rPr>
                <w:rFonts w:ascii="宋体" w:hAnsi="宋体" w:cs="宋体"/>
                <w:sz w:val="18"/>
                <w:szCs w:val="18"/>
              </w:rPr>
            </w:pPr>
            <w:r>
              <w:rPr>
                <w:rFonts w:hint="eastAsia" w:ascii="宋体" w:hAnsi="宋体" w:cs="宋体"/>
                <w:sz w:val="18"/>
                <w:szCs w:val="18"/>
              </w:rPr>
              <w:t>具有料位控制系统得2分。</w:t>
            </w:r>
          </w:p>
        </w:tc>
        <w:tc>
          <w:tcPr>
            <w:tcW w:w="740" w:type="dxa"/>
            <w:vMerge w:val="continue"/>
            <w:tcBorders>
              <w:right w:val="single" w:color="auto" w:sz="8"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1408" w:type="dxa"/>
            <w:vMerge w:val="continue"/>
            <w:tcBorders>
              <w:left w:val="single" w:color="auto" w:sz="8"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p>
        </w:tc>
        <w:tc>
          <w:tcPr>
            <w:tcW w:w="2415" w:type="dxa"/>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r>
              <w:rPr>
                <w:rFonts w:hint="eastAsia" w:ascii="宋体" w:hAnsi="宋体" w:cs="宋体"/>
                <w:sz w:val="18"/>
                <w:szCs w:val="18"/>
              </w:rPr>
              <w:t>雨水收集系统及利用情况</w:t>
            </w:r>
          </w:p>
        </w:tc>
        <w:tc>
          <w:tcPr>
            <w:tcW w:w="4922" w:type="dxa"/>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ind w:firstLine="180" w:firstLineChars="100"/>
              <w:jc w:val="left"/>
              <w:textAlignment w:val="auto"/>
              <w:rPr>
                <w:rFonts w:ascii="宋体" w:hAnsi="宋体" w:cs="宋体"/>
                <w:sz w:val="18"/>
                <w:szCs w:val="18"/>
              </w:rPr>
            </w:pPr>
            <w:r>
              <w:rPr>
                <w:rFonts w:hint="eastAsia" w:ascii="宋体" w:hAnsi="宋体" w:cs="宋体"/>
                <w:sz w:val="18"/>
                <w:szCs w:val="18"/>
              </w:rPr>
              <w:t>具有雨水收集系统并利用，得3分。</w:t>
            </w:r>
          </w:p>
        </w:tc>
        <w:tc>
          <w:tcPr>
            <w:tcW w:w="740" w:type="dxa"/>
            <w:vMerge w:val="continue"/>
            <w:tcBorders>
              <w:right w:val="single" w:color="auto" w:sz="8"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1408" w:type="dxa"/>
            <w:vMerge w:val="continue"/>
            <w:tcBorders>
              <w:left w:val="single" w:color="auto" w:sz="8"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p>
        </w:tc>
        <w:tc>
          <w:tcPr>
            <w:tcW w:w="2415" w:type="dxa"/>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r>
              <w:rPr>
                <w:rFonts w:hint="eastAsia" w:ascii="宋体" w:hAnsi="宋体" w:cs="宋体"/>
                <w:sz w:val="18"/>
                <w:szCs w:val="18"/>
              </w:rPr>
              <w:t>骨料堆场或高塔式骨料仓规范情况</w:t>
            </w:r>
          </w:p>
        </w:tc>
        <w:tc>
          <w:tcPr>
            <w:tcW w:w="4922" w:type="dxa"/>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ind w:firstLine="180" w:firstLineChars="100"/>
              <w:jc w:val="left"/>
              <w:textAlignment w:val="auto"/>
              <w:rPr>
                <w:rFonts w:ascii="宋体" w:hAnsi="宋体" w:cs="宋体"/>
                <w:sz w:val="18"/>
                <w:szCs w:val="18"/>
              </w:rPr>
            </w:pPr>
            <w:r>
              <w:rPr>
                <w:rFonts w:hint="eastAsia" w:ascii="宋体" w:hAnsi="宋体" w:cs="宋体"/>
                <w:sz w:val="18"/>
                <w:szCs w:val="18"/>
              </w:rPr>
              <w:t>当采用骨料堆场时，地面硬化、排水系统设计良好得2分；堆场进行全面封闭得4分；堆场具有喷淋降尘措施得2分。</w:t>
            </w:r>
          </w:p>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ind w:firstLine="180" w:firstLineChars="100"/>
              <w:jc w:val="left"/>
              <w:textAlignment w:val="auto"/>
              <w:rPr>
                <w:rFonts w:ascii="宋体" w:hAnsi="宋体" w:cs="宋体"/>
                <w:sz w:val="18"/>
                <w:szCs w:val="18"/>
              </w:rPr>
            </w:pPr>
            <w:r>
              <w:rPr>
                <w:rFonts w:hint="eastAsia" w:ascii="宋体" w:hAnsi="宋体" w:cs="宋体"/>
                <w:sz w:val="18"/>
                <w:szCs w:val="18"/>
              </w:rPr>
              <w:t>当采用高塔式骨料仓时，得8分。</w:t>
            </w:r>
          </w:p>
        </w:tc>
        <w:tc>
          <w:tcPr>
            <w:tcW w:w="740" w:type="dxa"/>
            <w:vMerge w:val="continue"/>
            <w:tcBorders>
              <w:right w:val="single" w:color="auto" w:sz="8"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1408" w:type="dxa"/>
            <w:vMerge w:val="continue"/>
            <w:tcBorders>
              <w:left w:val="single" w:color="auto" w:sz="8" w:space="0"/>
              <w:bottom w:val="single" w:color="auto" w:sz="8"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p>
        </w:tc>
        <w:tc>
          <w:tcPr>
            <w:tcW w:w="2415" w:type="dxa"/>
            <w:tcBorders>
              <w:bottom w:val="single" w:color="auto" w:sz="8"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r>
              <w:rPr>
                <w:rFonts w:hint="eastAsia" w:ascii="宋体" w:hAnsi="宋体" w:cs="宋体"/>
                <w:sz w:val="18"/>
                <w:szCs w:val="18"/>
              </w:rPr>
              <w:t>搅拌站（楼）整体封闭的情况</w:t>
            </w:r>
          </w:p>
        </w:tc>
        <w:tc>
          <w:tcPr>
            <w:tcW w:w="4922" w:type="dxa"/>
            <w:tcBorders>
              <w:bottom w:val="single" w:color="auto" w:sz="8"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ind w:firstLine="180" w:firstLineChars="100"/>
              <w:jc w:val="left"/>
              <w:textAlignment w:val="auto"/>
              <w:rPr>
                <w:rFonts w:ascii="宋体" w:hAnsi="宋体" w:cs="宋体"/>
                <w:sz w:val="18"/>
                <w:szCs w:val="18"/>
              </w:rPr>
            </w:pPr>
            <w:r>
              <w:rPr>
                <w:rFonts w:hint="eastAsia" w:ascii="宋体" w:hAnsi="宋体" w:cs="宋体"/>
                <w:sz w:val="18"/>
                <w:szCs w:val="18"/>
              </w:rPr>
              <w:t>搅拌站（楼）整体封闭得8分，搅拌站除粉料仓外全封闭，得4分。</w:t>
            </w:r>
          </w:p>
        </w:tc>
        <w:tc>
          <w:tcPr>
            <w:tcW w:w="740" w:type="dxa"/>
            <w:vMerge w:val="continue"/>
            <w:tcBorders>
              <w:bottom w:val="single" w:color="auto" w:sz="8" w:space="0"/>
              <w:right w:val="single" w:color="auto" w:sz="8"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1408" w:type="dxa"/>
            <w:vMerge w:val="restart"/>
            <w:tcBorders>
              <w:left w:val="single" w:color="auto" w:sz="8"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r>
              <w:rPr>
                <w:rFonts w:hint="eastAsia" w:ascii="宋体" w:hAnsi="宋体" w:cs="宋体"/>
                <w:color w:val="000000"/>
                <w:sz w:val="18"/>
                <w:szCs w:val="18"/>
              </w:rPr>
              <w:t>预拌混凝土绿色设计</w:t>
            </w:r>
          </w:p>
        </w:tc>
        <w:tc>
          <w:tcPr>
            <w:tcW w:w="2415" w:type="dxa"/>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r>
              <w:rPr>
                <w:rFonts w:hint="eastAsia" w:ascii="宋体" w:hAnsi="宋体" w:cs="宋体"/>
                <w:color w:val="000000"/>
                <w:sz w:val="18"/>
                <w:szCs w:val="18"/>
              </w:rPr>
              <w:t>原材料优选</w:t>
            </w:r>
          </w:p>
        </w:tc>
        <w:tc>
          <w:tcPr>
            <w:tcW w:w="4922" w:type="dxa"/>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ind w:firstLine="180" w:firstLineChars="100"/>
              <w:jc w:val="left"/>
              <w:textAlignment w:val="auto"/>
              <w:rPr>
                <w:rFonts w:ascii="宋体" w:hAnsi="宋体" w:cs="宋体"/>
                <w:sz w:val="18"/>
                <w:szCs w:val="18"/>
              </w:rPr>
            </w:pPr>
            <w:r>
              <w:rPr>
                <w:rFonts w:hint="eastAsia" w:ascii="宋体" w:hAnsi="宋体" w:cs="宋体"/>
                <w:sz w:val="18"/>
                <w:szCs w:val="18"/>
              </w:rPr>
              <w:t>使用强度等级≥42.5的通用硅酸盐水泥得2分；</w:t>
            </w:r>
          </w:p>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ind w:firstLine="180" w:firstLineChars="100"/>
              <w:jc w:val="left"/>
              <w:textAlignment w:val="auto"/>
              <w:rPr>
                <w:rFonts w:ascii="宋体" w:hAnsi="宋体" w:cs="宋体"/>
                <w:sz w:val="18"/>
                <w:szCs w:val="18"/>
              </w:rPr>
            </w:pPr>
            <w:r>
              <w:rPr>
                <w:rFonts w:hint="eastAsia" w:ascii="宋体" w:hAnsi="宋体" w:cs="宋体"/>
                <w:sz w:val="18"/>
                <w:szCs w:val="18"/>
              </w:rPr>
              <w:t>使用不低于II级的粉煤灰得2分；</w:t>
            </w:r>
          </w:p>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ind w:firstLine="180" w:firstLineChars="100"/>
              <w:jc w:val="left"/>
              <w:textAlignment w:val="auto"/>
              <w:rPr>
                <w:rFonts w:ascii="宋体" w:hAnsi="宋体" w:cs="宋体"/>
                <w:sz w:val="18"/>
                <w:szCs w:val="18"/>
              </w:rPr>
            </w:pPr>
            <w:r>
              <w:rPr>
                <w:rFonts w:hint="eastAsia" w:ascii="宋体" w:hAnsi="宋体" w:cs="宋体"/>
                <w:sz w:val="18"/>
                <w:szCs w:val="18"/>
              </w:rPr>
              <w:t>使用聚羧酸减水剂得2分；</w:t>
            </w:r>
          </w:p>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ind w:firstLine="180" w:firstLineChars="100"/>
              <w:jc w:val="left"/>
              <w:textAlignment w:val="auto"/>
              <w:rPr>
                <w:rFonts w:ascii="宋体" w:hAnsi="宋体" w:cs="宋体"/>
                <w:sz w:val="18"/>
                <w:szCs w:val="18"/>
              </w:rPr>
            </w:pPr>
            <w:r>
              <w:rPr>
                <w:rFonts w:hint="eastAsia" w:ascii="宋体" w:hAnsi="宋体" w:cs="宋体"/>
                <w:sz w:val="18"/>
                <w:szCs w:val="18"/>
              </w:rPr>
              <w:t>使用固体废弃物作骨料得2分。</w:t>
            </w:r>
          </w:p>
        </w:tc>
        <w:tc>
          <w:tcPr>
            <w:tcW w:w="740" w:type="dxa"/>
            <w:vMerge w:val="restart"/>
            <w:tcBorders>
              <w:top w:val="single" w:color="auto" w:sz="4" w:space="0"/>
              <w:bottom w:val="single" w:color="auto" w:sz="4" w:space="0"/>
              <w:right w:val="single" w:color="auto" w:sz="8"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r>
              <w:rPr>
                <w:rFonts w:hint="eastAsia" w:ascii="宋体" w:hAnsi="宋体" w:cs="宋体"/>
                <w:sz w:val="18"/>
                <w:szCs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1408" w:type="dxa"/>
            <w:vMerge w:val="continue"/>
            <w:tcBorders>
              <w:left w:val="single" w:color="auto" w:sz="8"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p>
        </w:tc>
        <w:tc>
          <w:tcPr>
            <w:tcW w:w="2415" w:type="dxa"/>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r>
              <w:rPr>
                <w:rFonts w:hint="eastAsia" w:ascii="宋体" w:hAnsi="宋体" w:cs="宋体"/>
                <w:sz w:val="18"/>
                <w:szCs w:val="18"/>
              </w:rPr>
              <w:t>配合比设计</w:t>
            </w:r>
          </w:p>
        </w:tc>
        <w:tc>
          <w:tcPr>
            <w:tcW w:w="4922" w:type="dxa"/>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ind w:firstLine="180" w:firstLineChars="100"/>
              <w:jc w:val="left"/>
              <w:textAlignment w:val="auto"/>
              <w:rPr>
                <w:rFonts w:ascii="宋体" w:hAnsi="宋体" w:cs="宋体"/>
                <w:sz w:val="18"/>
                <w:szCs w:val="18"/>
              </w:rPr>
            </w:pPr>
            <w:r>
              <w:rPr>
                <w:rFonts w:hint="eastAsia" w:ascii="宋体" w:hAnsi="宋体" w:cs="宋体"/>
                <w:sz w:val="18"/>
                <w:szCs w:val="18"/>
              </w:rPr>
              <w:t>使用2种及以上掺合料得2分；</w:t>
            </w:r>
          </w:p>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ind w:firstLine="180" w:firstLineChars="100"/>
              <w:jc w:val="left"/>
              <w:textAlignment w:val="auto"/>
              <w:rPr>
                <w:rFonts w:ascii="宋体" w:hAnsi="宋体" w:cs="宋体"/>
                <w:sz w:val="18"/>
                <w:szCs w:val="18"/>
              </w:rPr>
            </w:pPr>
            <w:r>
              <w:rPr>
                <w:rFonts w:hint="eastAsia" w:ascii="宋体" w:hAnsi="宋体" w:cs="宋体"/>
                <w:sz w:val="18"/>
                <w:szCs w:val="18"/>
              </w:rPr>
              <w:t>对有抗裂和耐久性要求的混凝土，按本规程设计配合比得2分。</w:t>
            </w:r>
          </w:p>
        </w:tc>
        <w:tc>
          <w:tcPr>
            <w:tcW w:w="740" w:type="dxa"/>
            <w:vMerge w:val="continue"/>
            <w:tcBorders>
              <w:top w:val="single" w:color="auto" w:sz="4" w:space="0"/>
              <w:bottom w:val="single" w:color="auto" w:sz="4" w:space="0"/>
              <w:right w:val="single" w:color="auto" w:sz="8"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1408" w:type="dxa"/>
            <w:vMerge w:val="restart"/>
            <w:tcBorders>
              <w:left w:val="single" w:color="auto" w:sz="8"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r>
              <w:rPr>
                <w:rFonts w:hint="eastAsia" w:ascii="宋体" w:hAnsi="宋体" w:cs="宋体"/>
                <w:sz w:val="18"/>
                <w:szCs w:val="18"/>
              </w:rPr>
              <w:t>生产管理</w:t>
            </w:r>
          </w:p>
        </w:tc>
        <w:tc>
          <w:tcPr>
            <w:tcW w:w="2415" w:type="dxa"/>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r>
              <w:rPr>
                <w:rFonts w:hint="eastAsia" w:ascii="宋体" w:hAnsi="宋体" w:cs="宋体"/>
                <w:sz w:val="18"/>
                <w:szCs w:val="18"/>
              </w:rPr>
              <w:t>生产过程控制</w:t>
            </w:r>
          </w:p>
        </w:tc>
        <w:tc>
          <w:tcPr>
            <w:tcW w:w="4922" w:type="dxa"/>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ind w:firstLine="180" w:firstLineChars="100"/>
              <w:jc w:val="left"/>
              <w:textAlignment w:val="auto"/>
              <w:rPr>
                <w:rFonts w:ascii="宋体" w:hAnsi="宋体" w:cs="宋体"/>
                <w:sz w:val="18"/>
                <w:szCs w:val="18"/>
              </w:rPr>
            </w:pPr>
            <w:r>
              <w:rPr>
                <w:rFonts w:hint="eastAsia" w:ascii="宋体" w:hAnsi="宋体" w:cs="宋体"/>
                <w:sz w:val="18"/>
                <w:szCs w:val="18"/>
              </w:rPr>
              <w:t>建立生产运营指挥中心得5分。</w:t>
            </w:r>
          </w:p>
        </w:tc>
        <w:tc>
          <w:tcPr>
            <w:tcW w:w="740" w:type="dxa"/>
            <w:vMerge w:val="restart"/>
            <w:tcBorders>
              <w:top w:val="single" w:color="auto" w:sz="4" w:space="0"/>
              <w:bottom w:val="single" w:color="auto" w:sz="4" w:space="0"/>
              <w:right w:val="single" w:color="auto" w:sz="8"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r>
              <w:rPr>
                <w:rFonts w:hint="eastAsia" w:ascii="宋体" w:hAnsi="宋体" w:cs="宋体"/>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1408" w:type="dxa"/>
            <w:vMerge w:val="continue"/>
            <w:tcBorders>
              <w:left w:val="single" w:color="auto" w:sz="8"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p>
        </w:tc>
        <w:tc>
          <w:tcPr>
            <w:tcW w:w="2415" w:type="dxa"/>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r>
              <w:rPr>
                <w:rFonts w:hint="eastAsia" w:ascii="宋体" w:hAnsi="宋体" w:cs="宋体"/>
                <w:sz w:val="18"/>
                <w:szCs w:val="18"/>
              </w:rPr>
              <w:t>进出厂管理</w:t>
            </w:r>
          </w:p>
        </w:tc>
        <w:tc>
          <w:tcPr>
            <w:tcW w:w="4922" w:type="dxa"/>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ind w:firstLine="180" w:firstLineChars="100"/>
              <w:jc w:val="left"/>
              <w:textAlignment w:val="auto"/>
              <w:rPr>
                <w:rFonts w:ascii="宋体" w:hAnsi="宋体" w:cs="宋体"/>
                <w:sz w:val="18"/>
                <w:szCs w:val="18"/>
              </w:rPr>
            </w:pPr>
            <w:r>
              <w:rPr>
                <w:rFonts w:hint="eastAsia" w:ascii="宋体" w:hAnsi="宋体" w:cs="宋体"/>
                <w:sz w:val="18"/>
                <w:szCs w:val="18"/>
              </w:rPr>
              <w:t>混凝土运输车辆满足规程7.4.3规定得2分；</w:t>
            </w:r>
          </w:p>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ind w:firstLine="180" w:firstLineChars="100"/>
              <w:jc w:val="left"/>
              <w:textAlignment w:val="auto"/>
              <w:rPr>
                <w:rFonts w:ascii="宋体" w:hAnsi="宋体" w:cs="宋体"/>
                <w:sz w:val="18"/>
                <w:szCs w:val="18"/>
              </w:rPr>
            </w:pPr>
            <w:r>
              <w:rPr>
                <w:rFonts w:hint="eastAsia" w:ascii="宋体" w:hAnsi="宋体" w:cs="宋体"/>
                <w:sz w:val="18"/>
                <w:szCs w:val="18"/>
              </w:rPr>
              <w:t>有限速限高标识得1分。</w:t>
            </w:r>
          </w:p>
        </w:tc>
        <w:tc>
          <w:tcPr>
            <w:tcW w:w="740" w:type="dxa"/>
            <w:vMerge w:val="continue"/>
            <w:tcBorders>
              <w:top w:val="single" w:color="auto" w:sz="4" w:space="0"/>
              <w:bottom w:val="single" w:color="auto" w:sz="4" w:space="0"/>
              <w:right w:val="single" w:color="auto" w:sz="8"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1408" w:type="dxa"/>
            <w:vMerge w:val="restart"/>
            <w:tcBorders>
              <w:left w:val="single" w:color="auto" w:sz="8"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r>
              <w:rPr>
                <w:rFonts w:hint="eastAsia" w:ascii="宋体" w:hAnsi="宋体" w:cs="宋体"/>
                <w:color w:val="000000"/>
                <w:sz w:val="18"/>
                <w:szCs w:val="18"/>
              </w:rPr>
              <w:t>控制要求</w:t>
            </w:r>
          </w:p>
        </w:tc>
        <w:tc>
          <w:tcPr>
            <w:tcW w:w="2415" w:type="dxa"/>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r>
              <w:rPr>
                <w:rFonts w:hint="eastAsia" w:ascii="宋体" w:hAnsi="宋体" w:cs="宋体"/>
                <w:sz w:val="18"/>
                <w:szCs w:val="18"/>
              </w:rPr>
              <w:t>废水、废浆</w:t>
            </w:r>
          </w:p>
        </w:tc>
        <w:tc>
          <w:tcPr>
            <w:tcW w:w="4922" w:type="dxa"/>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ind w:firstLine="180" w:firstLineChars="100"/>
              <w:jc w:val="left"/>
              <w:textAlignment w:val="auto"/>
              <w:rPr>
                <w:rFonts w:ascii="宋体" w:hAnsi="宋体" w:cs="宋体"/>
                <w:sz w:val="18"/>
                <w:szCs w:val="18"/>
              </w:rPr>
            </w:pPr>
            <w:r>
              <w:rPr>
                <w:rFonts w:hint="eastAsia" w:ascii="宋体" w:hAnsi="宋体" w:cs="宋体"/>
                <w:sz w:val="18"/>
                <w:szCs w:val="18"/>
              </w:rPr>
              <w:t>废水、废浆进行100%资源化利用得6分，废水、废浆部分资源化利用，部分处理后直接排放得2分。</w:t>
            </w:r>
          </w:p>
        </w:tc>
        <w:tc>
          <w:tcPr>
            <w:tcW w:w="740" w:type="dxa"/>
            <w:vMerge w:val="restart"/>
            <w:tcBorders>
              <w:top w:val="single" w:color="auto" w:sz="4" w:space="0"/>
              <w:right w:val="single" w:color="auto" w:sz="8"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r>
              <w:rPr>
                <w:rFonts w:hint="eastAsia" w:ascii="宋体" w:hAnsi="宋体" w:cs="宋体"/>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1408" w:type="dxa"/>
            <w:vMerge w:val="continue"/>
            <w:tcBorders>
              <w:left w:val="single" w:color="auto" w:sz="8"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p>
        </w:tc>
        <w:tc>
          <w:tcPr>
            <w:tcW w:w="2415" w:type="dxa"/>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r>
              <w:rPr>
                <w:rFonts w:hint="eastAsia" w:ascii="宋体" w:hAnsi="宋体" w:cs="宋体"/>
                <w:sz w:val="18"/>
                <w:szCs w:val="18"/>
              </w:rPr>
              <w:t>废弃混凝土</w:t>
            </w:r>
          </w:p>
        </w:tc>
        <w:tc>
          <w:tcPr>
            <w:tcW w:w="4922" w:type="dxa"/>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ind w:firstLine="180" w:firstLineChars="100"/>
              <w:jc w:val="left"/>
              <w:textAlignment w:val="auto"/>
              <w:rPr>
                <w:rFonts w:ascii="宋体" w:hAnsi="宋体" w:cs="宋体"/>
                <w:sz w:val="18"/>
                <w:szCs w:val="18"/>
              </w:rPr>
            </w:pPr>
            <w:r>
              <w:rPr>
                <w:rFonts w:hint="eastAsia" w:ascii="宋体" w:hAnsi="宋体" w:cs="宋体"/>
                <w:sz w:val="18"/>
                <w:szCs w:val="18"/>
              </w:rPr>
              <w:t>进行100%处理后资源化利用得5分，部分处理后资源化利用及部分交由其它消纳处理机构处理的得3分，完全交由其它消纳机构处理的得1分。</w:t>
            </w:r>
          </w:p>
        </w:tc>
        <w:tc>
          <w:tcPr>
            <w:tcW w:w="740" w:type="dxa"/>
            <w:vMerge w:val="continue"/>
            <w:tcBorders>
              <w:right w:val="single" w:color="auto" w:sz="8"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1408" w:type="dxa"/>
            <w:vMerge w:val="continue"/>
            <w:tcBorders>
              <w:left w:val="single" w:color="auto" w:sz="8"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p>
        </w:tc>
        <w:tc>
          <w:tcPr>
            <w:tcW w:w="2415" w:type="dxa"/>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r>
              <w:rPr>
                <w:rFonts w:hint="eastAsia" w:ascii="宋体" w:hAnsi="宋体" w:cs="宋体"/>
                <w:sz w:val="18"/>
                <w:szCs w:val="18"/>
              </w:rPr>
              <w:t>噪声</w:t>
            </w:r>
          </w:p>
        </w:tc>
        <w:tc>
          <w:tcPr>
            <w:tcW w:w="4922" w:type="dxa"/>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ind w:firstLine="180" w:firstLineChars="100"/>
              <w:jc w:val="left"/>
              <w:textAlignment w:val="auto"/>
              <w:rPr>
                <w:rFonts w:ascii="宋体" w:hAnsi="宋体" w:cs="宋体"/>
                <w:sz w:val="18"/>
                <w:szCs w:val="18"/>
              </w:rPr>
            </w:pPr>
            <w:r>
              <w:rPr>
                <w:rFonts w:hint="eastAsia" w:ascii="宋体" w:hAnsi="宋体" w:cs="宋体"/>
                <w:sz w:val="18"/>
                <w:szCs w:val="18"/>
              </w:rPr>
              <w:t>监控值满足本规程要求得2分。</w:t>
            </w:r>
          </w:p>
        </w:tc>
        <w:tc>
          <w:tcPr>
            <w:tcW w:w="740" w:type="dxa"/>
            <w:vMerge w:val="continue"/>
            <w:tcBorders>
              <w:right w:val="single" w:color="auto" w:sz="8"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1408" w:type="dxa"/>
            <w:vMerge w:val="continue"/>
            <w:tcBorders>
              <w:left w:val="single" w:color="auto" w:sz="8"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p>
        </w:tc>
        <w:tc>
          <w:tcPr>
            <w:tcW w:w="2415" w:type="dxa"/>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r>
              <w:rPr>
                <w:rFonts w:hint="eastAsia" w:ascii="宋体" w:hAnsi="宋体" w:cs="宋体"/>
                <w:sz w:val="18"/>
                <w:szCs w:val="18"/>
              </w:rPr>
              <w:t>生产性粉尘</w:t>
            </w:r>
          </w:p>
        </w:tc>
        <w:tc>
          <w:tcPr>
            <w:tcW w:w="4922" w:type="dxa"/>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ind w:firstLine="180" w:firstLineChars="100"/>
              <w:jc w:val="left"/>
              <w:textAlignment w:val="auto"/>
              <w:rPr>
                <w:rFonts w:ascii="宋体" w:hAnsi="宋体" w:cs="宋体"/>
                <w:sz w:val="18"/>
                <w:szCs w:val="18"/>
              </w:rPr>
            </w:pPr>
            <w:r>
              <w:rPr>
                <w:rFonts w:hint="eastAsia" w:ascii="宋体" w:hAnsi="宋体" w:cs="宋体"/>
                <w:sz w:val="18"/>
                <w:szCs w:val="18"/>
              </w:rPr>
              <w:t>监控值满足本规程要求得2分。</w:t>
            </w:r>
          </w:p>
        </w:tc>
        <w:tc>
          <w:tcPr>
            <w:tcW w:w="740" w:type="dxa"/>
            <w:vMerge w:val="continue"/>
            <w:tcBorders>
              <w:right w:val="single" w:color="auto" w:sz="8"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1408" w:type="dxa"/>
            <w:vMerge w:val="continue"/>
            <w:tcBorders>
              <w:left w:val="single" w:color="auto" w:sz="8"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p>
        </w:tc>
        <w:tc>
          <w:tcPr>
            <w:tcW w:w="2415" w:type="dxa"/>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r>
              <w:rPr>
                <w:rFonts w:hint="eastAsia" w:ascii="宋体" w:hAnsi="宋体" w:cs="宋体"/>
                <w:sz w:val="18"/>
                <w:szCs w:val="18"/>
              </w:rPr>
              <w:t>运输及装载车辆</w:t>
            </w:r>
          </w:p>
        </w:tc>
        <w:tc>
          <w:tcPr>
            <w:tcW w:w="4922" w:type="dxa"/>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ind w:firstLine="180" w:firstLineChars="100"/>
              <w:jc w:val="left"/>
              <w:textAlignment w:val="auto"/>
              <w:rPr>
                <w:rFonts w:ascii="宋体" w:hAnsi="宋体" w:cs="宋体"/>
                <w:sz w:val="18"/>
                <w:szCs w:val="18"/>
              </w:rPr>
            </w:pPr>
            <w:r>
              <w:rPr>
                <w:rFonts w:hint="eastAsia" w:ascii="宋体" w:hAnsi="宋体" w:cs="宋体"/>
                <w:sz w:val="18"/>
                <w:szCs w:val="18"/>
                <w:lang w:val="en-US" w:eastAsia="zh-CN"/>
              </w:rPr>
              <w:t>使用</w:t>
            </w:r>
            <w:r>
              <w:rPr>
                <w:rFonts w:hint="eastAsia" w:ascii="宋体" w:hAnsi="宋体" w:cs="宋体"/>
                <w:sz w:val="18"/>
                <w:szCs w:val="18"/>
              </w:rPr>
              <w:t>新能源车辆</w:t>
            </w:r>
            <w:r>
              <w:rPr>
                <w:rFonts w:hint="eastAsia" w:ascii="宋体" w:hAnsi="宋体" w:cs="宋体"/>
                <w:sz w:val="18"/>
                <w:szCs w:val="18"/>
                <w:lang w:val="en-US" w:eastAsia="zh-CN"/>
              </w:rPr>
              <w:t>运输</w:t>
            </w:r>
            <w:r>
              <w:rPr>
                <w:rFonts w:hint="eastAsia" w:ascii="宋体" w:hAnsi="宋体" w:cs="宋体"/>
                <w:sz w:val="18"/>
                <w:szCs w:val="18"/>
              </w:rPr>
              <w:t>得3分。</w:t>
            </w:r>
          </w:p>
        </w:tc>
        <w:tc>
          <w:tcPr>
            <w:tcW w:w="740" w:type="dxa"/>
            <w:vMerge w:val="continue"/>
            <w:tcBorders>
              <w:bottom w:val="single" w:color="auto" w:sz="4" w:space="0"/>
              <w:right w:val="single" w:color="auto" w:sz="8"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1408" w:type="dxa"/>
            <w:tcBorders>
              <w:left w:val="single" w:color="auto" w:sz="8" w:space="0"/>
              <w:bottom w:val="single" w:color="auto" w:sz="8"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r>
              <w:rPr>
                <w:rFonts w:hint="eastAsia" w:ascii="宋体" w:hAnsi="宋体" w:cs="宋体"/>
                <w:sz w:val="18"/>
                <w:szCs w:val="18"/>
              </w:rPr>
              <w:t>碳排放管理</w:t>
            </w:r>
          </w:p>
        </w:tc>
        <w:tc>
          <w:tcPr>
            <w:tcW w:w="2415" w:type="dxa"/>
            <w:tcBorders>
              <w:bottom w:val="single" w:color="auto" w:sz="8"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r>
              <w:rPr>
                <w:rFonts w:hint="eastAsia" w:ascii="宋体" w:hAnsi="宋体" w:cs="宋体"/>
                <w:sz w:val="18"/>
                <w:szCs w:val="18"/>
              </w:rPr>
              <w:t>单方产品碳排放值（以C30为基准）</w:t>
            </w:r>
          </w:p>
        </w:tc>
        <w:tc>
          <w:tcPr>
            <w:tcW w:w="4922" w:type="dxa"/>
            <w:tcBorders>
              <w:bottom w:val="single" w:color="auto" w:sz="8"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ind w:firstLine="180" w:firstLineChars="100"/>
              <w:jc w:val="left"/>
              <w:textAlignment w:val="auto"/>
              <w:rPr>
                <w:rFonts w:ascii="宋体" w:hAnsi="宋体" w:cs="宋体"/>
                <w:sz w:val="18"/>
                <w:szCs w:val="18"/>
              </w:rPr>
            </w:pPr>
            <w:r>
              <w:rPr>
                <w:rFonts w:hint="eastAsia" w:ascii="宋体" w:hAnsi="宋体" w:cs="宋体"/>
                <w:sz w:val="18"/>
                <w:szCs w:val="18"/>
              </w:rPr>
              <w:t>碳排放值不超过190</w:t>
            </w:r>
            <w:r>
              <w:rPr>
                <w:rFonts w:hint="eastAsia" w:ascii="宋体" w:hAnsi="宋体" w:cs="宋体"/>
                <w:bCs/>
                <w:kern w:val="0"/>
                <w:sz w:val="18"/>
                <w:szCs w:val="18"/>
              </w:rPr>
              <w:t>kgCO</w:t>
            </w:r>
            <w:r>
              <w:rPr>
                <w:rFonts w:hint="eastAsia" w:ascii="宋体" w:hAnsi="宋体" w:cs="宋体"/>
                <w:bCs/>
                <w:kern w:val="0"/>
                <w:sz w:val="18"/>
                <w:szCs w:val="18"/>
                <w:vertAlign w:val="subscript"/>
              </w:rPr>
              <w:t>2</w:t>
            </w:r>
            <w:r>
              <w:rPr>
                <w:rFonts w:hint="eastAsia" w:ascii="宋体" w:hAnsi="宋体" w:cs="宋体"/>
                <w:bCs/>
                <w:kern w:val="0"/>
                <w:sz w:val="18"/>
                <w:szCs w:val="18"/>
              </w:rPr>
              <w:t>e</w:t>
            </w:r>
            <w:r>
              <w:rPr>
                <w:rFonts w:hint="eastAsia" w:ascii="宋体" w:hAnsi="宋体" w:cs="宋体"/>
                <w:sz w:val="18"/>
                <w:szCs w:val="18"/>
              </w:rPr>
              <w:t>得10分；</w:t>
            </w:r>
          </w:p>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ind w:firstLine="180" w:firstLineChars="100"/>
              <w:jc w:val="left"/>
              <w:textAlignment w:val="auto"/>
              <w:rPr>
                <w:rFonts w:ascii="宋体" w:hAnsi="宋体" w:cs="宋体"/>
                <w:sz w:val="18"/>
                <w:szCs w:val="18"/>
              </w:rPr>
            </w:pPr>
            <w:r>
              <w:rPr>
                <w:rFonts w:hint="eastAsia" w:ascii="宋体" w:hAnsi="宋体" w:cs="宋体"/>
                <w:sz w:val="18"/>
                <w:szCs w:val="18"/>
              </w:rPr>
              <w:t>碳排放值不超过202</w:t>
            </w:r>
            <w:r>
              <w:rPr>
                <w:rFonts w:hint="eastAsia" w:ascii="宋体" w:hAnsi="宋体" w:cs="宋体"/>
                <w:bCs/>
                <w:kern w:val="0"/>
                <w:sz w:val="18"/>
                <w:szCs w:val="18"/>
              </w:rPr>
              <w:t>kgCO</w:t>
            </w:r>
            <w:r>
              <w:rPr>
                <w:rFonts w:hint="eastAsia" w:ascii="宋体" w:hAnsi="宋体" w:cs="宋体"/>
                <w:bCs/>
                <w:kern w:val="0"/>
                <w:sz w:val="18"/>
                <w:szCs w:val="18"/>
                <w:vertAlign w:val="subscript"/>
              </w:rPr>
              <w:t>2</w:t>
            </w:r>
            <w:r>
              <w:rPr>
                <w:rFonts w:hint="eastAsia" w:ascii="宋体" w:hAnsi="宋体" w:cs="宋体"/>
                <w:bCs/>
                <w:kern w:val="0"/>
                <w:sz w:val="18"/>
                <w:szCs w:val="18"/>
              </w:rPr>
              <w:t>e</w:t>
            </w:r>
            <w:r>
              <w:rPr>
                <w:rFonts w:hint="eastAsia" w:ascii="宋体" w:hAnsi="宋体" w:cs="宋体"/>
                <w:sz w:val="18"/>
                <w:szCs w:val="18"/>
              </w:rPr>
              <w:t>得9分；</w:t>
            </w:r>
          </w:p>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ind w:firstLine="180" w:firstLineChars="100"/>
              <w:jc w:val="left"/>
              <w:textAlignment w:val="auto"/>
              <w:rPr>
                <w:rFonts w:ascii="宋体" w:hAnsi="宋体" w:cs="宋体"/>
                <w:sz w:val="18"/>
                <w:szCs w:val="18"/>
              </w:rPr>
            </w:pPr>
            <w:r>
              <w:rPr>
                <w:rFonts w:hint="eastAsia" w:ascii="宋体" w:hAnsi="宋体" w:cs="宋体"/>
                <w:sz w:val="18"/>
                <w:szCs w:val="18"/>
              </w:rPr>
              <w:t>碳排放值不超过214</w:t>
            </w:r>
            <w:r>
              <w:rPr>
                <w:rFonts w:hint="eastAsia" w:ascii="宋体" w:hAnsi="宋体" w:cs="宋体"/>
                <w:bCs/>
                <w:kern w:val="0"/>
                <w:sz w:val="18"/>
                <w:szCs w:val="18"/>
              </w:rPr>
              <w:t>kgCO</w:t>
            </w:r>
            <w:r>
              <w:rPr>
                <w:rFonts w:hint="eastAsia" w:ascii="宋体" w:hAnsi="宋体" w:cs="宋体"/>
                <w:bCs/>
                <w:kern w:val="0"/>
                <w:sz w:val="18"/>
                <w:szCs w:val="18"/>
                <w:vertAlign w:val="subscript"/>
              </w:rPr>
              <w:t>2</w:t>
            </w:r>
            <w:r>
              <w:rPr>
                <w:rFonts w:hint="eastAsia" w:ascii="宋体" w:hAnsi="宋体" w:cs="宋体"/>
                <w:bCs/>
                <w:kern w:val="0"/>
                <w:sz w:val="18"/>
                <w:szCs w:val="18"/>
              </w:rPr>
              <w:t>e</w:t>
            </w:r>
            <w:r>
              <w:rPr>
                <w:rFonts w:hint="eastAsia" w:ascii="宋体" w:hAnsi="宋体" w:cs="宋体"/>
                <w:sz w:val="18"/>
                <w:szCs w:val="18"/>
              </w:rPr>
              <w:t>得8分；</w:t>
            </w:r>
          </w:p>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ind w:firstLine="180" w:firstLineChars="100"/>
              <w:jc w:val="left"/>
              <w:textAlignment w:val="auto"/>
              <w:rPr>
                <w:rFonts w:ascii="宋体" w:hAnsi="宋体" w:cs="宋体"/>
                <w:sz w:val="18"/>
                <w:szCs w:val="18"/>
              </w:rPr>
            </w:pPr>
            <w:r>
              <w:rPr>
                <w:rFonts w:hint="eastAsia" w:ascii="宋体" w:hAnsi="宋体" w:cs="宋体"/>
                <w:sz w:val="18"/>
                <w:szCs w:val="18"/>
              </w:rPr>
              <w:t>碳排放值不超过226</w:t>
            </w:r>
            <w:r>
              <w:rPr>
                <w:rFonts w:hint="eastAsia" w:ascii="宋体" w:hAnsi="宋体" w:cs="宋体"/>
                <w:bCs/>
                <w:kern w:val="0"/>
                <w:sz w:val="18"/>
                <w:szCs w:val="18"/>
              </w:rPr>
              <w:t>kgCO</w:t>
            </w:r>
            <w:r>
              <w:rPr>
                <w:rFonts w:hint="eastAsia" w:ascii="宋体" w:hAnsi="宋体" w:cs="宋体"/>
                <w:bCs/>
                <w:kern w:val="0"/>
                <w:sz w:val="18"/>
                <w:szCs w:val="18"/>
                <w:vertAlign w:val="subscript"/>
              </w:rPr>
              <w:t>2</w:t>
            </w:r>
            <w:r>
              <w:rPr>
                <w:rFonts w:hint="eastAsia" w:ascii="宋体" w:hAnsi="宋体" w:cs="宋体"/>
                <w:bCs/>
                <w:kern w:val="0"/>
                <w:sz w:val="18"/>
                <w:szCs w:val="18"/>
              </w:rPr>
              <w:t>e</w:t>
            </w:r>
            <w:r>
              <w:rPr>
                <w:rFonts w:hint="eastAsia" w:ascii="宋体" w:hAnsi="宋体" w:cs="宋体"/>
                <w:sz w:val="18"/>
                <w:szCs w:val="18"/>
              </w:rPr>
              <w:t>得7分；</w:t>
            </w:r>
          </w:p>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ind w:firstLine="180" w:firstLineChars="100"/>
              <w:jc w:val="left"/>
              <w:textAlignment w:val="auto"/>
              <w:rPr>
                <w:rFonts w:ascii="宋体" w:hAnsi="宋体" w:cs="宋体"/>
                <w:sz w:val="18"/>
                <w:szCs w:val="18"/>
              </w:rPr>
            </w:pPr>
            <w:r>
              <w:rPr>
                <w:rFonts w:hint="eastAsia" w:ascii="宋体" w:hAnsi="宋体" w:cs="宋体"/>
                <w:sz w:val="18"/>
                <w:szCs w:val="18"/>
              </w:rPr>
              <w:t>碳排放值不超过238</w:t>
            </w:r>
            <w:r>
              <w:rPr>
                <w:rFonts w:hint="eastAsia" w:ascii="宋体" w:hAnsi="宋体" w:cs="宋体"/>
                <w:bCs/>
                <w:kern w:val="0"/>
                <w:sz w:val="18"/>
                <w:szCs w:val="18"/>
              </w:rPr>
              <w:t>kgCO</w:t>
            </w:r>
            <w:r>
              <w:rPr>
                <w:rFonts w:hint="eastAsia" w:ascii="宋体" w:hAnsi="宋体" w:cs="宋体"/>
                <w:bCs/>
                <w:kern w:val="0"/>
                <w:sz w:val="18"/>
                <w:szCs w:val="18"/>
                <w:vertAlign w:val="subscript"/>
              </w:rPr>
              <w:t>2</w:t>
            </w:r>
            <w:r>
              <w:rPr>
                <w:rFonts w:hint="eastAsia" w:ascii="宋体" w:hAnsi="宋体" w:cs="宋体"/>
                <w:bCs/>
                <w:kern w:val="0"/>
                <w:sz w:val="18"/>
                <w:szCs w:val="18"/>
              </w:rPr>
              <w:t>e</w:t>
            </w:r>
            <w:r>
              <w:rPr>
                <w:rFonts w:hint="eastAsia" w:ascii="宋体" w:hAnsi="宋体" w:cs="宋体"/>
                <w:sz w:val="18"/>
                <w:szCs w:val="18"/>
              </w:rPr>
              <w:t>得6分；</w:t>
            </w:r>
          </w:p>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ind w:firstLine="180" w:firstLineChars="100"/>
              <w:jc w:val="left"/>
              <w:textAlignment w:val="auto"/>
              <w:rPr>
                <w:rFonts w:ascii="宋体" w:hAnsi="宋体" w:cs="宋体"/>
                <w:sz w:val="18"/>
                <w:szCs w:val="18"/>
              </w:rPr>
            </w:pPr>
            <w:r>
              <w:rPr>
                <w:rFonts w:hint="eastAsia" w:ascii="宋体" w:hAnsi="宋体" w:cs="宋体"/>
                <w:sz w:val="18"/>
                <w:szCs w:val="18"/>
              </w:rPr>
              <w:t>碳排放值不超过250</w:t>
            </w:r>
            <w:r>
              <w:rPr>
                <w:rFonts w:hint="eastAsia" w:ascii="宋体" w:hAnsi="宋体" w:cs="宋体"/>
                <w:bCs/>
                <w:kern w:val="0"/>
                <w:sz w:val="18"/>
                <w:szCs w:val="18"/>
              </w:rPr>
              <w:t>kgCO</w:t>
            </w:r>
            <w:r>
              <w:rPr>
                <w:rFonts w:hint="eastAsia" w:ascii="宋体" w:hAnsi="宋体" w:cs="宋体"/>
                <w:bCs/>
                <w:kern w:val="0"/>
                <w:sz w:val="18"/>
                <w:szCs w:val="18"/>
                <w:vertAlign w:val="subscript"/>
              </w:rPr>
              <w:t>2</w:t>
            </w:r>
            <w:r>
              <w:rPr>
                <w:rFonts w:hint="eastAsia" w:ascii="宋体" w:hAnsi="宋体" w:cs="宋体"/>
                <w:bCs/>
                <w:kern w:val="0"/>
                <w:sz w:val="18"/>
                <w:szCs w:val="18"/>
              </w:rPr>
              <w:t>e</w:t>
            </w:r>
            <w:r>
              <w:rPr>
                <w:rFonts w:hint="eastAsia" w:ascii="宋体" w:hAnsi="宋体" w:cs="宋体"/>
                <w:sz w:val="18"/>
                <w:szCs w:val="18"/>
              </w:rPr>
              <w:t>得5分；</w:t>
            </w:r>
          </w:p>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ind w:firstLine="180" w:firstLineChars="100"/>
              <w:jc w:val="left"/>
              <w:textAlignment w:val="auto"/>
              <w:rPr>
                <w:rFonts w:ascii="宋体" w:hAnsi="宋体" w:cs="宋体"/>
                <w:sz w:val="18"/>
                <w:szCs w:val="18"/>
              </w:rPr>
            </w:pPr>
            <w:r>
              <w:rPr>
                <w:rFonts w:hint="eastAsia" w:ascii="宋体" w:hAnsi="宋体" w:cs="宋体"/>
                <w:sz w:val="18"/>
                <w:szCs w:val="18"/>
              </w:rPr>
              <w:t>碳排放值不超过262</w:t>
            </w:r>
            <w:r>
              <w:rPr>
                <w:rFonts w:hint="eastAsia" w:ascii="宋体" w:hAnsi="宋体" w:cs="宋体"/>
                <w:bCs/>
                <w:kern w:val="0"/>
                <w:sz w:val="18"/>
                <w:szCs w:val="18"/>
              </w:rPr>
              <w:t>kgCO</w:t>
            </w:r>
            <w:r>
              <w:rPr>
                <w:rFonts w:hint="eastAsia" w:ascii="宋体" w:hAnsi="宋体" w:cs="宋体"/>
                <w:bCs/>
                <w:kern w:val="0"/>
                <w:sz w:val="18"/>
                <w:szCs w:val="18"/>
                <w:vertAlign w:val="subscript"/>
              </w:rPr>
              <w:t>2</w:t>
            </w:r>
            <w:r>
              <w:rPr>
                <w:rFonts w:hint="eastAsia" w:ascii="宋体" w:hAnsi="宋体" w:cs="宋体"/>
                <w:bCs/>
                <w:kern w:val="0"/>
                <w:sz w:val="18"/>
                <w:szCs w:val="18"/>
              </w:rPr>
              <w:t>e</w:t>
            </w:r>
            <w:r>
              <w:rPr>
                <w:rFonts w:hint="eastAsia" w:ascii="宋体" w:hAnsi="宋体" w:cs="宋体"/>
                <w:sz w:val="18"/>
                <w:szCs w:val="18"/>
              </w:rPr>
              <w:t>得4分；</w:t>
            </w:r>
          </w:p>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ind w:firstLine="180" w:firstLineChars="100"/>
              <w:jc w:val="left"/>
              <w:textAlignment w:val="auto"/>
              <w:rPr>
                <w:rFonts w:ascii="宋体" w:hAnsi="宋体" w:cs="宋体"/>
                <w:sz w:val="18"/>
                <w:szCs w:val="18"/>
              </w:rPr>
            </w:pPr>
            <w:r>
              <w:rPr>
                <w:rFonts w:hint="eastAsia" w:ascii="宋体" w:hAnsi="宋体" w:cs="宋体"/>
                <w:sz w:val="18"/>
                <w:szCs w:val="18"/>
              </w:rPr>
              <w:t>碳排放值不超过274</w:t>
            </w:r>
            <w:r>
              <w:rPr>
                <w:rFonts w:hint="eastAsia" w:ascii="宋体" w:hAnsi="宋体" w:cs="宋体"/>
                <w:bCs/>
                <w:kern w:val="0"/>
                <w:sz w:val="18"/>
                <w:szCs w:val="18"/>
              </w:rPr>
              <w:t>kgCO</w:t>
            </w:r>
            <w:r>
              <w:rPr>
                <w:rFonts w:hint="eastAsia" w:ascii="宋体" w:hAnsi="宋体" w:cs="宋体"/>
                <w:bCs/>
                <w:kern w:val="0"/>
                <w:sz w:val="18"/>
                <w:szCs w:val="18"/>
                <w:vertAlign w:val="subscript"/>
              </w:rPr>
              <w:t>2</w:t>
            </w:r>
            <w:r>
              <w:rPr>
                <w:rFonts w:hint="eastAsia" w:ascii="宋体" w:hAnsi="宋体" w:cs="宋体"/>
                <w:bCs/>
                <w:kern w:val="0"/>
                <w:sz w:val="18"/>
                <w:szCs w:val="18"/>
              </w:rPr>
              <w:t>e</w:t>
            </w:r>
            <w:r>
              <w:rPr>
                <w:rFonts w:hint="eastAsia" w:ascii="宋体" w:hAnsi="宋体" w:cs="宋体"/>
                <w:sz w:val="18"/>
                <w:szCs w:val="18"/>
              </w:rPr>
              <w:t>得3分；</w:t>
            </w:r>
          </w:p>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ind w:firstLine="180" w:firstLineChars="100"/>
              <w:jc w:val="left"/>
              <w:textAlignment w:val="auto"/>
              <w:rPr>
                <w:rFonts w:ascii="宋体" w:hAnsi="宋体" w:cs="宋体"/>
                <w:sz w:val="18"/>
                <w:szCs w:val="18"/>
              </w:rPr>
            </w:pPr>
            <w:r>
              <w:rPr>
                <w:rFonts w:hint="eastAsia" w:ascii="宋体" w:hAnsi="宋体" w:cs="宋体"/>
                <w:sz w:val="18"/>
                <w:szCs w:val="18"/>
              </w:rPr>
              <w:t>碳排放值不超过286</w:t>
            </w:r>
            <w:r>
              <w:rPr>
                <w:rFonts w:hint="eastAsia" w:ascii="宋体" w:hAnsi="宋体" w:cs="宋体"/>
                <w:bCs/>
                <w:kern w:val="0"/>
                <w:sz w:val="18"/>
                <w:szCs w:val="18"/>
              </w:rPr>
              <w:t>kgCO</w:t>
            </w:r>
            <w:r>
              <w:rPr>
                <w:rFonts w:hint="eastAsia" w:ascii="宋体" w:hAnsi="宋体" w:cs="宋体"/>
                <w:bCs/>
                <w:kern w:val="0"/>
                <w:sz w:val="18"/>
                <w:szCs w:val="18"/>
                <w:vertAlign w:val="subscript"/>
              </w:rPr>
              <w:t>2</w:t>
            </w:r>
            <w:r>
              <w:rPr>
                <w:rFonts w:hint="eastAsia" w:ascii="宋体" w:hAnsi="宋体" w:cs="宋体"/>
                <w:bCs/>
                <w:kern w:val="0"/>
                <w:sz w:val="18"/>
                <w:szCs w:val="18"/>
              </w:rPr>
              <w:t>e</w:t>
            </w:r>
            <w:r>
              <w:rPr>
                <w:rFonts w:hint="eastAsia" w:ascii="宋体" w:hAnsi="宋体" w:cs="宋体"/>
                <w:sz w:val="18"/>
                <w:szCs w:val="18"/>
              </w:rPr>
              <w:t>得2分；</w:t>
            </w:r>
          </w:p>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ind w:firstLine="180" w:firstLineChars="100"/>
              <w:jc w:val="left"/>
              <w:textAlignment w:val="auto"/>
              <w:rPr>
                <w:rFonts w:ascii="宋体" w:hAnsi="宋体" w:cs="宋体"/>
                <w:sz w:val="18"/>
                <w:szCs w:val="18"/>
              </w:rPr>
            </w:pPr>
            <w:r>
              <w:rPr>
                <w:rFonts w:hint="eastAsia" w:ascii="宋体" w:hAnsi="宋体" w:cs="宋体"/>
                <w:sz w:val="18"/>
                <w:szCs w:val="18"/>
              </w:rPr>
              <w:t>碳排放值不超过298</w:t>
            </w:r>
            <w:r>
              <w:rPr>
                <w:rFonts w:hint="eastAsia" w:ascii="宋体" w:hAnsi="宋体" w:cs="宋体"/>
                <w:bCs/>
                <w:kern w:val="0"/>
                <w:sz w:val="18"/>
                <w:szCs w:val="18"/>
              </w:rPr>
              <w:t>kgCO</w:t>
            </w:r>
            <w:r>
              <w:rPr>
                <w:rFonts w:hint="eastAsia" w:ascii="宋体" w:hAnsi="宋体" w:cs="宋体"/>
                <w:bCs/>
                <w:kern w:val="0"/>
                <w:sz w:val="18"/>
                <w:szCs w:val="18"/>
                <w:vertAlign w:val="subscript"/>
              </w:rPr>
              <w:t>2</w:t>
            </w:r>
            <w:r>
              <w:rPr>
                <w:rFonts w:hint="eastAsia" w:ascii="宋体" w:hAnsi="宋体" w:cs="宋体"/>
                <w:bCs/>
                <w:kern w:val="0"/>
                <w:sz w:val="18"/>
                <w:szCs w:val="18"/>
              </w:rPr>
              <w:t>e</w:t>
            </w:r>
            <w:r>
              <w:rPr>
                <w:rFonts w:hint="eastAsia" w:ascii="宋体" w:hAnsi="宋体" w:cs="宋体"/>
                <w:sz w:val="18"/>
                <w:szCs w:val="18"/>
              </w:rPr>
              <w:t>得1分；</w:t>
            </w:r>
          </w:p>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ind w:firstLine="180" w:firstLineChars="100"/>
              <w:jc w:val="left"/>
              <w:textAlignment w:val="auto"/>
              <w:rPr>
                <w:rFonts w:ascii="宋体" w:hAnsi="宋体" w:cs="宋体"/>
                <w:sz w:val="18"/>
                <w:szCs w:val="18"/>
              </w:rPr>
            </w:pPr>
            <w:r>
              <w:rPr>
                <w:rFonts w:hint="eastAsia" w:ascii="宋体" w:hAnsi="宋体" w:cs="宋体"/>
                <w:sz w:val="18"/>
                <w:szCs w:val="18"/>
              </w:rPr>
              <w:t>碳排放值超过298</w:t>
            </w:r>
            <w:r>
              <w:rPr>
                <w:rFonts w:hint="eastAsia" w:ascii="宋体" w:hAnsi="宋体" w:cs="宋体"/>
                <w:bCs/>
                <w:kern w:val="0"/>
                <w:sz w:val="18"/>
                <w:szCs w:val="18"/>
              </w:rPr>
              <w:t>kgCO</w:t>
            </w:r>
            <w:r>
              <w:rPr>
                <w:rFonts w:hint="eastAsia" w:ascii="宋体" w:hAnsi="宋体" w:cs="宋体"/>
                <w:bCs/>
                <w:kern w:val="0"/>
                <w:sz w:val="18"/>
                <w:szCs w:val="18"/>
                <w:vertAlign w:val="subscript"/>
              </w:rPr>
              <w:t>2</w:t>
            </w:r>
            <w:r>
              <w:rPr>
                <w:rFonts w:hint="eastAsia" w:ascii="宋体" w:hAnsi="宋体" w:cs="宋体"/>
                <w:bCs/>
                <w:kern w:val="0"/>
                <w:sz w:val="18"/>
                <w:szCs w:val="18"/>
              </w:rPr>
              <w:t>e</w:t>
            </w:r>
            <w:r>
              <w:rPr>
                <w:rFonts w:hint="eastAsia" w:ascii="宋体" w:hAnsi="宋体" w:cs="宋体"/>
                <w:sz w:val="18"/>
                <w:szCs w:val="18"/>
              </w:rPr>
              <w:t>得0分。</w:t>
            </w:r>
          </w:p>
        </w:tc>
        <w:tc>
          <w:tcPr>
            <w:tcW w:w="740" w:type="dxa"/>
            <w:tcBorders>
              <w:top w:val="single" w:color="auto" w:sz="4" w:space="0"/>
              <w:bottom w:val="single" w:color="auto" w:sz="8" w:space="0"/>
              <w:right w:val="single" w:color="auto" w:sz="8" w:space="0"/>
            </w:tcBorders>
            <w:vAlign w:val="center"/>
          </w:tcPr>
          <w:p>
            <w:pPr>
              <w:keepNext w:val="0"/>
              <w:keepLines w:val="0"/>
              <w:pageBreakBefore w:val="0"/>
              <w:widowControl w:val="0"/>
              <w:numPr>
                <w:ilvl w:val="255"/>
                <w:numId w:val="0"/>
              </w:numPr>
              <w:kinsoku/>
              <w:wordWrap/>
              <w:overflowPunct/>
              <w:topLinePunct w:val="0"/>
              <w:autoSpaceDE/>
              <w:autoSpaceDN/>
              <w:bidi w:val="0"/>
              <w:adjustRightInd/>
              <w:snapToGrid w:val="0"/>
              <w:spacing w:line="280" w:lineRule="exact"/>
              <w:jc w:val="center"/>
              <w:textAlignment w:val="auto"/>
              <w:rPr>
                <w:rFonts w:ascii="宋体" w:hAnsi="宋体" w:cs="宋体"/>
                <w:sz w:val="18"/>
                <w:szCs w:val="18"/>
              </w:rPr>
            </w:pPr>
            <w:r>
              <w:rPr>
                <w:rFonts w:hint="eastAsia" w:ascii="宋体" w:hAnsi="宋体" w:cs="宋体"/>
                <w:sz w:val="18"/>
                <w:szCs w:val="18"/>
              </w:rPr>
              <w:t>10</w:t>
            </w:r>
          </w:p>
        </w:tc>
      </w:tr>
    </w:tbl>
    <w:p>
      <w:pPr>
        <w:pStyle w:val="58"/>
        <w:ind w:firstLine="420"/>
        <w:sectPr>
          <w:headerReference r:id="rId15" w:type="default"/>
          <w:footerReference r:id="rId16" w:type="default"/>
          <w:pgSz w:w="11906" w:h="16838"/>
          <w:pgMar w:top="567" w:right="1134" w:bottom="1134" w:left="1134" w:header="1418" w:footer="1134" w:gutter="284"/>
          <w:cols w:space="425" w:num="1"/>
          <w:formProt w:val="0"/>
          <w:docGrid w:type="lines" w:linePitch="312" w:charSpace="0"/>
        </w:sectPr>
      </w:pPr>
    </w:p>
    <w:p>
      <w:pPr>
        <w:pStyle w:val="200"/>
      </w:pPr>
    </w:p>
    <w:p>
      <w:pPr>
        <w:pStyle w:val="201"/>
      </w:pPr>
    </w:p>
    <w:p>
      <w:pPr>
        <w:pStyle w:val="78"/>
        <w:spacing w:before="78" w:after="156"/>
      </w:pPr>
      <w:bookmarkStart w:id="108" w:name="_Toc22603"/>
      <w:r>
        <w:br w:type="textWrapping"/>
      </w:r>
      <w:r>
        <w:rPr>
          <w:rFonts w:hint="eastAsia"/>
        </w:rPr>
        <w:t>（</w:t>
      </w:r>
      <w:r>
        <w:rPr>
          <w:rFonts w:hint="eastAsia"/>
          <w:lang w:val="en-US" w:eastAsia="zh-CN"/>
        </w:rPr>
        <w:t>规范</w:t>
      </w:r>
      <w:r>
        <w:rPr>
          <w:rFonts w:hint="eastAsia"/>
        </w:rPr>
        <w:t>性）</w:t>
      </w:r>
      <w:r>
        <w:br w:type="textWrapping"/>
      </w:r>
      <w:r>
        <w:rPr>
          <w:rFonts w:hint="eastAsia"/>
        </w:rPr>
        <w:t>预拌混凝土单位产品碳排放量计算方法</w:t>
      </w:r>
      <w:bookmarkEnd w:id="108"/>
    </w:p>
    <w:p>
      <w:pPr>
        <w:pStyle w:val="213"/>
        <w:keepNext w:val="0"/>
        <w:keepLines w:val="0"/>
        <w:pageBreakBefore w:val="0"/>
        <w:widowControl w:val="0"/>
        <w:kinsoku/>
        <w:wordWrap/>
        <w:overflowPunct/>
        <w:topLinePunct w:val="0"/>
        <w:autoSpaceDE/>
        <w:autoSpaceDN/>
        <w:bidi w:val="0"/>
        <w:adjustRightInd/>
        <w:snapToGrid/>
        <w:spacing w:line="240" w:lineRule="auto"/>
        <w:textAlignment w:val="auto"/>
      </w:pPr>
      <w:r>
        <w:rPr>
          <w:rFonts w:hint="eastAsia"/>
        </w:rPr>
        <w:t>预拌混凝土单位产品碳排放量计算应按单位产品的原材料开采及生产、原材料运输、机械设备能源资源消耗、人工消耗四大部分碳排放进行数据采集与量化，得到单位产品的碳排放量，即碳排放因子。每立方米预拌混凝土碳排放量应按下式计算：</w:t>
      </w:r>
    </w:p>
    <w:p>
      <w:pPr>
        <w:keepNext w:val="0"/>
        <w:keepLines w:val="0"/>
        <w:pageBreakBefore w:val="0"/>
        <w:widowControl/>
        <w:numPr>
          <w:ilvl w:val="255"/>
          <w:numId w:val="0"/>
        </w:numPr>
        <w:tabs>
          <w:tab w:val="center" w:pos="4150"/>
          <w:tab w:val="right" w:pos="8301"/>
        </w:tabs>
        <w:kinsoku/>
        <w:wordWrap/>
        <w:overflowPunct/>
        <w:topLinePunct w:val="0"/>
        <w:autoSpaceDE/>
        <w:autoSpaceDN/>
        <w:bidi w:val="0"/>
        <w:adjustRightInd/>
        <w:snapToGrid/>
        <w:spacing w:line="240" w:lineRule="auto"/>
        <w:ind w:left="851" w:hanging="426"/>
        <w:jc w:val="right"/>
        <w:textAlignment w:val="auto"/>
        <w:rPr>
          <w:rFonts w:ascii="宋体" w:hAnsi="宋体" w:cs="宋体"/>
          <w:kern w:val="0"/>
        </w:rPr>
      </w:pPr>
      <w:r>
        <w:rPr>
          <w:rFonts w:hint="eastAsia" w:ascii="宋体" w:hAnsi="宋体" w:cs="宋体"/>
          <w:bCs/>
          <w:kern w:val="0"/>
        </w:rPr>
        <w:tab/>
      </w:r>
      <m:oMath>
        <m:r>
          <m:rPr/>
          <w:rPr>
            <w:rFonts w:hint="eastAsia" w:ascii="Cambria Math" w:hAnsi="Cambria Math" w:cs="宋体"/>
            <w:kern w:val="0"/>
          </w:rPr>
          <m:t>C</m:t>
        </m:r>
        <m:r>
          <m:rPr>
            <m:sty m:val="p"/>
          </m:rPr>
          <w:rPr>
            <w:rFonts w:hint="eastAsia" w:ascii="Cambria Math" w:hAnsi="Cambria Math" w:cs="宋体"/>
            <w:kern w:val="0"/>
          </w:rPr>
          <m:t>=</m:t>
        </m:r>
        <m:sSub>
          <m:sSubPr>
            <m:ctrlPr>
              <w:rPr>
                <w:rFonts w:hint="eastAsia" w:ascii="Cambria Math" w:hAnsi="Cambria Math" w:cs="宋体"/>
                <w:bCs/>
                <w:kern w:val="0"/>
              </w:rPr>
            </m:ctrlPr>
          </m:sSubPr>
          <m:e>
            <m:r>
              <m:rPr/>
              <w:rPr>
                <w:rFonts w:hint="eastAsia" w:ascii="Cambria Math" w:hAnsi="Cambria Math" w:cs="宋体"/>
                <w:kern w:val="0"/>
              </w:rPr>
              <m:t>C</m:t>
            </m:r>
            <m:ctrlPr>
              <w:rPr>
                <w:rFonts w:hint="eastAsia" w:ascii="Cambria Math" w:hAnsi="Cambria Math" w:cs="宋体"/>
                <w:bCs/>
                <w:kern w:val="0"/>
              </w:rPr>
            </m:ctrlPr>
          </m:e>
          <m:sub>
            <m:r>
              <m:rPr>
                <m:sty m:val="p"/>
              </m:rPr>
              <w:rPr>
                <w:rFonts w:hint="eastAsia" w:ascii="Cambria Math" w:hAnsi="Cambria Math" w:cs="宋体"/>
                <w:kern w:val="0"/>
              </w:rPr>
              <m:t>1</m:t>
            </m:r>
            <m:ctrlPr>
              <w:rPr>
                <w:rFonts w:hint="eastAsia" w:ascii="Cambria Math" w:hAnsi="Cambria Math" w:cs="宋体"/>
                <w:bCs/>
                <w:kern w:val="0"/>
              </w:rPr>
            </m:ctrlPr>
          </m:sub>
        </m:sSub>
        <m:r>
          <m:rPr/>
          <w:rPr>
            <w:rFonts w:hint="eastAsia" w:ascii="Cambria Math" w:hAnsi="Cambria Math" w:cs="宋体"/>
            <w:kern w:val="0"/>
          </w:rPr>
          <m:t>+</m:t>
        </m:r>
        <m:sSub>
          <m:sSubPr>
            <m:ctrlPr>
              <w:rPr>
                <w:rFonts w:hint="eastAsia" w:ascii="Cambria Math" w:hAnsi="Cambria Math" w:cs="宋体"/>
                <w:bCs/>
                <w:kern w:val="0"/>
              </w:rPr>
            </m:ctrlPr>
          </m:sSubPr>
          <m:e>
            <m:r>
              <m:rPr/>
              <w:rPr>
                <w:rFonts w:hint="eastAsia" w:ascii="Cambria Math" w:hAnsi="Cambria Math" w:cs="宋体"/>
                <w:kern w:val="0"/>
              </w:rPr>
              <m:t>C</m:t>
            </m:r>
            <m:ctrlPr>
              <w:rPr>
                <w:rFonts w:hint="eastAsia" w:ascii="Cambria Math" w:hAnsi="Cambria Math" w:cs="宋体"/>
                <w:bCs/>
                <w:kern w:val="0"/>
              </w:rPr>
            </m:ctrlPr>
          </m:e>
          <m:sub>
            <m:r>
              <m:rPr>
                <m:sty m:val="p"/>
              </m:rPr>
              <w:rPr>
                <w:rFonts w:hint="eastAsia" w:ascii="Cambria Math" w:hAnsi="Cambria Math" w:cs="宋体"/>
                <w:kern w:val="0"/>
              </w:rPr>
              <m:t>2</m:t>
            </m:r>
            <m:ctrlPr>
              <w:rPr>
                <w:rFonts w:hint="eastAsia" w:ascii="Cambria Math" w:hAnsi="Cambria Math" w:cs="宋体"/>
                <w:bCs/>
                <w:kern w:val="0"/>
              </w:rPr>
            </m:ctrlPr>
          </m:sub>
        </m:sSub>
        <m:r>
          <m:rPr>
            <m:sty m:val="p"/>
          </m:rPr>
          <w:rPr>
            <w:rFonts w:hint="eastAsia" w:ascii="Cambria Math" w:hAnsi="Cambria Math" w:cs="宋体"/>
            <w:kern w:val="0"/>
          </w:rPr>
          <m:t>+</m:t>
        </m:r>
        <m:sSub>
          <m:sSubPr>
            <m:ctrlPr>
              <w:rPr>
                <w:rFonts w:hint="eastAsia" w:ascii="Cambria Math" w:hAnsi="Cambria Math" w:cs="宋体"/>
                <w:bCs/>
                <w:kern w:val="0"/>
              </w:rPr>
            </m:ctrlPr>
          </m:sSubPr>
          <m:e>
            <m:r>
              <m:rPr/>
              <w:rPr>
                <w:rFonts w:hint="eastAsia" w:ascii="Cambria Math" w:hAnsi="Cambria Math" w:cs="宋体"/>
                <w:kern w:val="0"/>
              </w:rPr>
              <m:t>C</m:t>
            </m:r>
            <m:ctrlPr>
              <w:rPr>
                <w:rFonts w:hint="eastAsia" w:ascii="Cambria Math" w:hAnsi="Cambria Math" w:cs="宋体"/>
                <w:bCs/>
                <w:kern w:val="0"/>
              </w:rPr>
            </m:ctrlPr>
          </m:e>
          <m:sub>
            <m:r>
              <m:rPr>
                <m:sty m:val="p"/>
              </m:rPr>
              <w:rPr>
                <w:rFonts w:hint="eastAsia" w:ascii="Cambria Math" w:hAnsi="Cambria Math" w:cs="宋体"/>
                <w:kern w:val="0"/>
              </w:rPr>
              <m:t>3</m:t>
            </m:r>
            <m:ctrlPr>
              <w:rPr>
                <w:rFonts w:hint="eastAsia" w:ascii="Cambria Math" w:hAnsi="Cambria Math" w:cs="宋体"/>
                <w:bCs/>
                <w:kern w:val="0"/>
              </w:rPr>
            </m:ctrlPr>
          </m:sub>
        </m:sSub>
        <m:r>
          <m:rPr>
            <m:sty m:val="p"/>
          </m:rPr>
          <w:rPr>
            <w:rFonts w:hint="eastAsia" w:ascii="Cambria Math" w:hAnsi="Cambria Math" w:cs="宋体"/>
            <w:kern w:val="0"/>
          </w:rPr>
          <m:t>+</m:t>
        </m:r>
        <m:sSub>
          <m:sSubPr>
            <m:ctrlPr>
              <w:rPr>
                <w:rFonts w:hint="eastAsia" w:ascii="Cambria Math" w:hAnsi="Cambria Math" w:cs="宋体"/>
                <w:bCs/>
                <w:kern w:val="0"/>
              </w:rPr>
            </m:ctrlPr>
          </m:sSubPr>
          <m:e>
            <m:r>
              <m:rPr/>
              <w:rPr>
                <w:rFonts w:hint="eastAsia" w:ascii="Cambria Math" w:hAnsi="Cambria Math" w:cs="宋体"/>
                <w:kern w:val="0"/>
              </w:rPr>
              <m:t>C</m:t>
            </m:r>
            <m:ctrlPr>
              <w:rPr>
                <w:rFonts w:hint="eastAsia" w:ascii="Cambria Math" w:hAnsi="Cambria Math" w:cs="宋体"/>
                <w:bCs/>
                <w:kern w:val="0"/>
              </w:rPr>
            </m:ctrlPr>
          </m:e>
          <m:sub>
            <m:r>
              <m:rPr>
                <m:sty m:val="p"/>
              </m:rPr>
              <w:rPr>
                <w:rFonts w:hint="eastAsia" w:ascii="Cambria Math" w:hAnsi="Cambria Math" w:cs="宋体"/>
                <w:kern w:val="0"/>
              </w:rPr>
              <m:t>4</m:t>
            </m:r>
            <m:ctrlPr>
              <w:rPr>
                <w:rFonts w:hint="eastAsia" w:ascii="Cambria Math" w:hAnsi="Cambria Math" w:cs="宋体"/>
                <w:bCs/>
                <w:kern w:val="0"/>
              </w:rPr>
            </m:ctrlPr>
          </m:sub>
        </m:sSub>
      </m:oMath>
      <w:r>
        <w:rPr>
          <w:rFonts w:hint="eastAsia" w:ascii="宋体" w:hAnsi="宋体" w:cs="宋体"/>
          <w:bCs/>
          <w:kern w:val="0"/>
        </w:rPr>
        <w:t xml:space="preserve">      </w:t>
      </w:r>
      <w:r>
        <w:rPr>
          <w:rFonts w:ascii="宋体" w:hAnsi="宋体" w:cs="宋体"/>
          <w:bCs/>
          <w:kern w:val="0"/>
        </w:rPr>
        <w:t xml:space="preserve">       </w:t>
      </w:r>
      <w:r>
        <w:rPr>
          <w:rFonts w:hint="eastAsia" w:ascii="宋体" w:hAnsi="宋体" w:cs="宋体"/>
          <w:bCs/>
          <w:kern w:val="0"/>
        </w:rPr>
        <w:t xml:space="preserve">  </w:t>
      </w:r>
      <w:r>
        <w:rPr>
          <w:rFonts w:ascii="宋体" w:hAnsi="宋体" w:cs="宋体"/>
          <w:bCs/>
          <w:kern w:val="0"/>
        </w:rPr>
        <w:t xml:space="preserve">             </w:t>
      </w:r>
      <w:r>
        <w:rPr>
          <w:rFonts w:hint="eastAsia" w:ascii="宋体" w:hAnsi="宋体" w:cs="宋体"/>
          <w:bCs/>
          <w:kern w:val="0"/>
        </w:rPr>
        <w:t xml:space="preserve"> （</w:t>
      </w:r>
      <w:r>
        <w:rPr>
          <w:rFonts w:ascii="宋体" w:hAnsi="宋体" w:cs="宋体"/>
          <w:bCs/>
          <w:kern w:val="0"/>
        </w:rPr>
        <w:t>1</w:t>
      </w:r>
      <w:r>
        <w:rPr>
          <w:rFonts w:hint="eastAsia" w:ascii="宋体" w:hAnsi="宋体" w:cs="宋体"/>
          <w:bCs/>
          <w:kern w:val="0"/>
        </w:rPr>
        <w:t>）</w:t>
      </w:r>
    </w:p>
    <w:p>
      <w:pPr>
        <w:keepNext w:val="0"/>
        <w:keepLines w:val="0"/>
        <w:pageBreakBefore w:val="0"/>
        <w:widowControl/>
        <w:numPr>
          <w:ilvl w:val="255"/>
          <w:numId w:val="0"/>
        </w:numPr>
        <w:kinsoku/>
        <w:wordWrap/>
        <w:overflowPunct/>
        <w:topLinePunct w:val="0"/>
        <w:autoSpaceDE/>
        <w:autoSpaceDN/>
        <w:bidi w:val="0"/>
        <w:adjustRightInd/>
        <w:snapToGrid/>
        <w:spacing w:line="240" w:lineRule="auto"/>
        <w:ind w:firstLine="420" w:firstLineChars="200"/>
        <w:jc w:val="left"/>
        <w:textAlignment w:val="auto"/>
        <w:rPr>
          <w:rFonts w:ascii="宋体" w:hAnsi="宋体" w:cs="宋体"/>
          <w:bCs/>
          <w:kern w:val="0"/>
        </w:rPr>
      </w:pPr>
      <w:r>
        <w:rPr>
          <w:rFonts w:hint="eastAsia" w:ascii="宋体" w:hAnsi="宋体" w:cs="宋体"/>
          <w:bCs/>
          <w:kern w:val="0"/>
        </w:rPr>
        <w:t>式中：</w:t>
      </w:r>
    </w:p>
    <w:p>
      <w:pPr>
        <w:keepNext w:val="0"/>
        <w:keepLines w:val="0"/>
        <w:pageBreakBefore w:val="0"/>
        <w:widowControl/>
        <w:numPr>
          <w:ilvl w:val="255"/>
          <w:numId w:val="0"/>
        </w:numPr>
        <w:kinsoku/>
        <w:wordWrap/>
        <w:overflowPunct/>
        <w:topLinePunct w:val="0"/>
        <w:autoSpaceDE/>
        <w:autoSpaceDN/>
        <w:bidi w:val="0"/>
        <w:adjustRightInd/>
        <w:snapToGrid/>
        <w:spacing w:line="240" w:lineRule="auto"/>
        <w:ind w:firstLine="420" w:firstLineChars="200"/>
        <w:jc w:val="left"/>
        <w:textAlignment w:val="auto"/>
        <w:rPr>
          <w:rFonts w:ascii="宋体" w:hAnsi="宋体" w:cs="宋体"/>
          <w:bCs/>
          <w:kern w:val="0"/>
        </w:rPr>
      </w:pPr>
      <m:oMath>
        <m:r>
          <m:rPr/>
          <w:rPr>
            <w:rFonts w:hint="eastAsia" w:ascii="Cambria Math" w:hAnsi="Cambria Math" w:cs="宋体"/>
            <w:kern w:val="0"/>
          </w:rPr>
          <m:t>C</m:t>
        </m:r>
      </m:oMath>
      <w:r>
        <w:rPr>
          <w:rFonts w:hint="eastAsia" w:ascii="宋体" w:hAnsi="宋体" w:cs="宋体"/>
          <w:bCs/>
          <w:kern w:val="0"/>
        </w:rPr>
        <w:t>——每立方米预拌混凝土碳排放量（kgCO</w:t>
      </w:r>
      <w:r>
        <w:rPr>
          <w:rFonts w:hint="eastAsia" w:ascii="宋体" w:hAnsi="宋体" w:cs="宋体"/>
          <w:bCs/>
          <w:kern w:val="0"/>
          <w:vertAlign w:val="subscript"/>
        </w:rPr>
        <w:t>2</w:t>
      </w:r>
      <w:r>
        <w:rPr>
          <w:rFonts w:hint="eastAsia" w:ascii="宋体" w:hAnsi="宋体" w:cs="宋体"/>
          <w:bCs/>
          <w:kern w:val="0"/>
        </w:rPr>
        <w:t>e/m</w:t>
      </w:r>
      <w:r>
        <w:rPr>
          <w:rFonts w:hint="eastAsia" w:ascii="宋体" w:hAnsi="宋体" w:cs="宋体"/>
          <w:bCs/>
          <w:kern w:val="0"/>
          <w:vertAlign w:val="superscript"/>
        </w:rPr>
        <w:t>3</w:t>
      </w:r>
      <w:r>
        <w:rPr>
          <w:rFonts w:hint="eastAsia" w:ascii="宋体" w:hAnsi="宋体" w:cs="宋体"/>
          <w:bCs/>
          <w:kern w:val="0"/>
        </w:rPr>
        <w:t>）；</w:t>
      </w:r>
    </w:p>
    <w:p>
      <w:pPr>
        <w:keepNext w:val="0"/>
        <w:keepLines w:val="0"/>
        <w:pageBreakBefore w:val="0"/>
        <w:widowControl/>
        <w:numPr>
          <w:ilvl w:val="255"/>
          <w:numId w:val="0"/>
        </w:numPr>
        <w:kinsoku/>
        <w:wordWrap/>
        <w:overflowPunct/>
        <w:topLinePunct w:val="0"/>
        <w:autoSpaceDE/>
        <w:autoSpaceDN/>
        <w:bidi w:val="0"/>
        <w:adjustRightInd/>
        <w:snapToGrid/>
        <w:spacing w:line="240" w:lineRule="auto"/>
        <w:ind w:firstLine="420" w:firstLineChars="200"/>
        <w:jc w:val="left"/>
        <w:textAlignment w:val="auto"/>
        <w:rPr>
          <w:rFonts w:ascii="宋体" w:hAnsi="宋体" w:cs="宋体"/>
          <w:bCs/>
          <w:kern w:val="0"/>
        </w:rPr>
      </w:pPr>
      <m:oMath>
        <m:sSub>
          <m:sSubPr>
            <m:ctrlPr>
              <w:rPr>
                <w:rFonts w:hint="eastAsia" w:ascii="Cambria Math" w:hAnsi="Cambria Math" w:cs="宋体"/>
                <w:bCs/>
                <w:i/>
                <w:kern w:val="0"/>
              </w:rPr>
            </m:ctrlPr>
          </m:sSubPr>
          <m:e>
            <m:r>
              <m:rPr/>
              <w:rPr>
                <w:rFonts w:hint="eastAsia" w:ascii="Cambria Math" w:hAnsi="Cambria Math" w:cs="宋体"/>
                <w:kern w:val="0"/>
              </w:rPr>
              <m:t>C</m:t>
            </m:r>
            <m:ctrlPr>
              <w:rPr>
                <w:rFonts w:hint="eastAsia" w:ascii="Cambria Math" w:hAnsi="Cambria Math" w:cs="宋体"/>
                <w:bCs/>
                <w:i/>
                <w:kern w:val="0"/>
              </w:rPr>
            </m:ctrlPr>
          </m:e>
          <m:sub>
            <m:r>
              <m:rPr/>
              <w:rPr>
                <w:rFonts w:hint="eastAsia" w:ascii="Cambria Math" w:hAnsi="Cambria Math" w:cs="宋体"/>
                <w:kern w:val="0"/>
              </w:rPr>
              <m:t>1</m:t>
            </m:r>
            <m:ctrlPr>
              <w:rPr>
                <w:rFonts w:hint="eastAsia" w:ascii="Cambria Math" w:hAnsi="Cambria Math" w:cs="宋体"/>
                <w:bCs/>
                <w:i/>
                <w:kern w:val="0"/>
              </w:rPr>
            </m:ctrlPr>
          </m:sub>
        </m:sSub>
      </m:oMath>
      <w:r>
        <w:rPr>
          <w:rFonts w:hint="eastAsia" w:ascii="宋体" w:hAnsi="宋体" w:cs="宋体"/>
          <w:bCs/>
          <w:kern w:val="0"/>
        </w:rPr>
        <w:t>——每立方米预拌混凝土原材料开采及生产产生的碳排放量（kgCO</w:t>
      </w:r>
      <w:r>
        <w:rPr>
          <w:rFonts w:hint="eastAsia" w:ascii="宋体" w:hAnsi="宋体" w:cs="宋体"/>
          <w:bCs/>
          <w:kern w:val="0"/>
          <w:vertAlign w:val="subscript"/>
        </w:rPr>
        <w:t>2</w:t>
      </w:r>
      <w:r>
        <w:rPr>
          <w:rFonts w:hint="eastAsia" w:ascii="宋体" w:hAnsi="宋体" w:cs="宋体"/>
          <w:bCs/>
          <w:kern w:val="0"/>
        </w:rPr>
        <w:t>e/m</w:t>
      </w:r>
      <w:r>
        <w:rPr>
          <w:rFonts w:hint="eastAsia" w:ascii="宋体" w:hAnsi="宋体" w:cs="宋体"/>
          <w:bCs/>
          <w:kern w:val="0"/>
          <w:vertAlign w:val="superscript"/>
        </w:rPr>
        <w:t>3</w:t>
      </w:r>
      <w:r>
        <w:rPr>
          <w:rFonts w:hint="eastAsia" w:ascii="宋体" w:hAnsi="宋体" w:cs="宋体"/>
          <w:bCs/>
          <w:kern w:val="0"/>
        </w:rPr>
        <w:t>）；</w:t>
      </w:r>
    </w:p>
    <w:p>
      <w:pPr>
        <w:keepNext w:val="0"/>
        <w:keepLines w:val="0"/>
        <w:pageBreakBefore w:val="0"/>
        <w:widowControl/>
        <w:numPr>
          <w:ilvl w:val="255"/>
          <w:numId w:val="0"/>
        </w:numPr>
        <w:kinsoku/>
        <w:wordWrap/>
        <w:overflowPunct/>
        <w:topLinePunct w:val="0"/>
        <w:autoSpaceDE/>
        <w:autoSpaceDN/>
        <w:bidi w:val="0"/>
        <w:adjustRightInd/>
        <w:snapToGrid/>
        <w:spacing w:line="240" w:lineRule="auto"/>
        <w:ind w:firstLine="420" w:firstLineChars="200"/>
        <w:jc w:val="left"/>
        <w:textAlignment w:val="auto"/>
        <w:rPr>
          <w:rFonts w:ascii="宋体" w:hAnsi="宋体" w:cs="宋体"/>
          <w:bCs/>
          <w:kern w:val="0"/>
        </w:rPr>
      </w:pPr>
      <m:oMath>
        <m:sSub>
          <m:sSubPr>
            <m:ctrlPr>
              <w:rPr>
                <w:rFonts w:hint="eastAsia" w:ascii="Cambria Math" w:hAnsi="Cambria Math" w:cs="宋体"/>
                <w:bCs/>
                <w:i/>
                <w:kern w:val="0"/>
              </w:rPr>
            </m:ctrlPr>
          </m:sSubPr>
          <m:e>
            <m:r>
              <m:rPr/>
              <w:rPr>
                <w:rFonts w:hint="eastAsia" w:ascii="Cambria Math" w:hAnsi="Cambria Math" w:cs="宋体"/>
                <w:kern w:val="0"/>
              </w:rPr>
              <m:t>C</m:t>
            </m:r>
            <m:ctrlPr>
              <w:rPr>
                <w:rFonts w:hint="eastAsia" w:ascii="Cambria Math" w:hAnsi="Cambria Math" w:cs="宋体"/>
                <w:bCs/>
                <w:i/>
                <w:kern w:val="0"/>
              </w:rPr>
            </m:ctrlPr>
          </m:e>
          <m:sub>
            <m:r>
              <m:rPr/>
              <w:rPr>
                <w:rFonts w:hint="eastAsia" w:ascii="Cambria Math" w:hAnsi="Cambria Math" w:cs="宋体"/>
                <w:kern w:val="0"/>
              </w:rPr>
              <m:t>2</m:t>
            </m:r>
            <m:ctrlPr>
              <w:rPr>
                <w:rFonts w:hint="eastAsia" w:ascii="Cambria Math" w:hAnsi="Cambria Math" w:cs="宋体"/>
                <w:bCs/>
                <w:i/>
                <w:kern w:val="0"/>
              </w:rPr>
            </m:ctrlPr>
          </m:sub>
        </m:sSub>
      </m:oMath>
      <w:r>
        <w:rPr>
          <w:rFonts w:hint="eastAsia" w:ascii="宋体" w:hAnsi="宋体" w:cs="宋体"/>
          <w:bCs/>
          <w:kern w:val="0"/>
        </w:rPr>
        <w:t>——每立方米预拌混凝土原材料运输产生的碳排放量（kgCO</w:t>
      </w:r>
      <w:r>
        <w:rPr>
          <w:rFonts w:hint="eastAsia" w:ascii="宋体" w:hAnsi="宋体" w:cs="宋体"/>
          <w:bCs/>
          <w:kern w:val="0"/>
          <w:vertAlign w:val="subscript"/>
        </w:rPr>
        <w:t>2</w:t>
      </w:r>
      <w:r>
        <w:rPr>
          <w:rFonts w:hint="eastAsia" w:ascii="宋体" w:hAnsi="宋体" w:cs="宋体"/>
          <w:bCs/>
          <w:kern w:val="0"/>
        </w:rPr>
        <w:t>e/m</w:t>
      </w:r>
      <w:r>
        <w:rPr>
          <w:rFonts w:hint="eastAsia" w:ascii="宋体" w:hAnsi="宋体" w:cs="宋体"/>
          <w:bCs/>
          <w:kern w:val="0"/>
          <w:vertAlign w:val="superscript"/>
        </w:rPr>
        <w:t>3</w:t>
      </w:r>
      <w:r>
        <w:rPr>
          <w:rFonts w:hint="eastAsia" w:ascii="宋体" w:hAnsi="宋体" w:cs="宋体"/>
          <w:bCs/>
          <w:kern w:val="0"/>
        </w:rPr>
        <w:t>）；</w:t>
      </w:r>
    </w:p>
    <w:p>
      <w:pPr>
        <w:keepNext w:val="0"/>
        <w:keepLines w:val="0"/>
        <w:pageBreakBefore w:val="0"/>
        <w:widowControl/>
        <w:numPr>
          <w:ilvl w:val="255"/>
          <w:numId w:val="0"/>
        </w:numPr>
        <w:kinsoku/>
        <w:wordWrap/>
        <w:overflowPunct/>
        <w:topLinePunct w:val="0"/>
        <w:autoSpaceDE/>
        <w:autoSpaceDN/>
        <w:bidi w:val="0"/>
        <w:adjustRightInd/>
        <w:snapToGrid/>
        <w:spacing w:line="240" w:lineRule="auto"/>
        <w:ind w:firstLine="420" w:firstLineChars="200"/>
        <w:jc w:val="left"/>
        <w:textAlignment w:val="auto"/>
        <w:rPr>
          <w:rFonts w:ascii="宋体" w:hAnsi="宋体" w:cs="宋体"/>
          <w:bCs/>
          <w:kern w:val="0"/>
        </w:rPr>
      </w:pPr>
      <m:oMath>
        <m:sSub>
          <m:sSubPr>
            <m:ctrlPr>
              <w:rPr>
                <w:rFonts w:hint="eastAsia" w:ascii="Cambria Math" w:hAnsi="Cambria Math" w:cs="宋体"/>
                <w:bCs/>
                <w:i/>
                <w:kern w:val="0"/>
              </w:rPr>
            </m:ctrlPr>
          </m:sSubPr>
          <m:e>
            <m:r>
              <m:rPr/>
              <w:rPr>
                <w:rFonts w:hint="eastAsia" w:ascii="Cambria Math" w:hAnsi="Cambria Math" w:cs="宋体"/>
                <w:kern w:val="0"/>
              </w:rPr>
              <m:t>C</m:t>
            </m:r>
            <m:ctrlPr>
              <w:rPr>
                <w:rFonts w:hint="eastAsia" w:ascii="Cambria Math" w:hAnsi="Cambria Math" w:cs="宋体"/>
                <w:bCs/>
                <w:i/>
                <w:kern w:val="0"/>
              </w:rPr>
            </m:ctrlPr>
          </m:e>
          <m:sub>
            <m:r>
              <m:rPr/>
              <w:rPr>
                <w:rFonts w:hint="eastAsia" w:ascii="Cambria Math" w:hAnsi="Cambria Math" w:cs="宋体"/>
                <w:kern w:val="0"/>
              </w:rPr>
              <m:t>3</m:t>
            </m:r>
            <m:ctrlPr>
              <w:rPr>
                <w:rFonts w:hint="eastAsia" w:ascii="Cambria Math" w:hAnsi="Cambria Math" w:cs="宋体"/>
                <w:bCs/>
                <w:i/>
                <w:kern w:val="0"/>
              </w:rPr>
            </m:ctrlPr>
          </m:sub>
        </m:sSub>
      </m:oMath>
      <w:r>
        <w:rPr>
          <w:rFonts w:hint="eastAsia" w:ascii="宋体" w:hAnsi="宋体" w:cs="宋体"/>
          <w:bCs/>
          <w:kern w:val="0"/>
        </w:rPr>
        <w:t>——每立方米预拌混凝土生产中因机械设备消耗能源资源产生的碳排放量（kgCO</w:t>
      </w:r>
      <w:r>
        <w:rPr>
          <w:rFonts w:hint="eastAsia" w:ascii="宋体" w:hAnsi="宋体" w:cs="宋体"/>
          <w:bCs/>
          <w:kern w:val="0"/>
          <w:vertAlign w:val="subscript"/>
        </w:rPr>
        <w:t>2</w:t>
      </w:r>
      <w:r>
        <w:rPr>
          <w:rFonts w:hint="eastAsia" w:ascii="宋体" w:hAnsi="宋体" w:cs="宋体"/>
          <w:bCs/>
          <w:kern w:val="0"/>
        </w:rPr>
        <w:t>e/m</w:t>
      </w:r>
      <w:r>
        <w:rPr>
          <w:rFonts w:hint="eastAsia" w:ascii="宋体" w:hAnsi="宋体" w:cs="宋体"/>
          <w:bCs/>
          <w:kern w:val="0"/>
          <w:vertAlign w:val="superscript"/>
        </w:rPr>
        <w:t>3</w:t>
      </w:r>
      <w:r>
        <w:rPr>
          <w:rFonts w:hint="eastAsia" w:ascii="宋体" w:hAnsi="宋体" w:cs="宋体"/>
          <w:bCs/>
          <w:kern w:val="0"/>
        </w:rPr>
        <w:t>）；</w:t>
      </w:r>
    </w:p>
    <w:p>
      <w:pPr>
        <w:keepNext w:val="0"/>
        <w:keepLines w:val="0"/>
        <w:pageBreakBefore w:val="0"/>
        <w:widowControl/>
        <w:numPr>
          <w:ilvl w:val="255"/>
          <w:numId w:val="0"/>
        </w:numPr>
        <w:kinsoku/>
        <w:wordWrap/>
        <w:overflowPunct/>
        <w:topLinePunct w:val="0"/>
        <w:autoSpaceDE/>
        <w:autoSpaceDN/>
        <w:bidi w:val="0"/>
        <w:adjustRightInd/>
        <w:snapToGrid/>
        <w:spacing w:line="240" w:lineRule="auto"/>
        <w:ind w:firstLine="420" w:firstLineChars="200"/>
        <w:jc w:val="left"/>
        <w:textAlignment w:val="auto"/>
        <w:rPr>
          <w:rFonts w:ascii="宋体" w:hAnsi="宋体" w:cs="宋体"/>
          <w:bCs/>
          <w:kern w:val="0"/>
        </w:rPr>
      </w:pPr>
      <m:oMath>
        <m:sSub>
          <m:sSubPr>
            <m:ctrlPr>
              <w:rPr>
                <w:rFonts w:hint="eastAsia" w:ascii="Cambria Math" w:hAnsi="Cambria Math" w:cs="宋体"/>
                <w:bCs/>
                <w:i/>
                <w:kern w:val="0"/>
              </w:rPr>
            </m:ctrlPr>
          </m:sSubPr>
          <m:e>
            <m:r>
              <m:rPr/>
              <w:rPr>
                <w:rFonts w:hint="eastAsia" w:ascii="Cambria Math" w:hAnsi="Cambria Math" w:cs="宋体"/>
                <w:kern w:val="0"/>
              </w:rPr>
              <m:t>C</m:t>
            </m:r>
            <m:ctrlPr>
              <w:rPr>
                <w:rFonts w:hint="eastAsia" w:ascii="Cambria Math" w:hAnsi="Cambria Math" w:cs="宋体"/>
                <w:bCs/>
                <w:i/>
                <w:kern w:val="0"/>
              </w:rPr>
            </m:ctrlPr>
          </m:e>
          <m:sub>
            <m:r>
              <m:rPr/>
              <w:rPr>
                <w:rFonts w:hint="eastAsia" w:ascii="Cambria Math" w:hAnsi="Cambria Math" w:cs="宋体"/>
                <w:kern w:val="0"/>
              </w:rPr>
              <m:t>4</m:t>
            </m:r>
            <m:ctrlPr>
              <w:rPr>
                <w:rFonts w:hint="eastAsia" w:ascii="Cambria Math" w:hAnsi="Cambria Math" w:cs="宋体"/>
                <w:bCs/>
                <w:i/>
                <w:kern w:val="0"/>
              </w:rPr>
            </m:ctrlPr>
          </m:sub>
        </m:sSub>
      </m:oMath>
      <w:r>
        <w:rPr>
          <w:rFonts w:hint="eastAsia" w:ascii="宋体" w:hAnsi="宋体" w:cs="宋体"/>
          <w:bCs/>
          <w:kern w:val="0"/>
        </w:rPr>
        <w:t>——每立方米预拌混凝土生产中人工消耗的碳排放量（kgCO</w:t>
      </w:r>
      <w:r>
        <w:rPr>
          <w:rFonts w:hint="eastAsia" w:ascii="宋体" w:hAnsi="宋体" w:cs="宋体"/>
          <w:bCs/>
          <w:kern w:val="0"/>
          <w:vertAlign w:val="subscript"/>
        </w:rPr>
        <w:t>2</w:t>
      </w:r>
      <w:r>
        <w:rPr>
          <w:rFonts w:hint="eastAsia" w:ascii="宋体" w:hAnsi="宋体" w:cs="宋体"/>
          <w:bCs/>
          <w:kern w:val="0"/>
        </w:rPr>
        <w:t>e/m</w:t>
      </w:r>
      <w:r>
        <w:rPr>
          <w:rFonts w:hint="eastAsia" w:ascii="宋体" w:hAnsi="宋体" w:cs="宋体"/>
          <w:bCs/>
          <w:kern w:val="0"/>
          <w:vertAlign w:val="superscript"/>
        </w:rPr>
        <w:t>3</w:t>
      </w:r>
      <w:r>
        <w:rPr>
          <w:rFonts w:hint="eastAsia" w:ascii="宋体" w:hAnsi="宋体" w:cs="宋体"/>
          <w:bCs/>
          <w:kern w:val="0"/>
        </w:rPr>
        <w:t>）。</w:t>
      </w:r>
    </w:p>
    <w:p>
      <w:pPr>
        <w:pStyle w:val="213"/>
        <w:keepNext w:val="0"/>
        <w:keepLines w:val="0"/>
        <w:pageBreakBefore w:val="0"/>
        <w:kinsoku/>
        <w:wordWrap/>
        <w:overflowPunct/>
        <w:topLinePunct w:val="0"/>
        <w:autoSpaceDE/>
        <w:autoSpaceDN/>
        <w:bidi w:val="0"/>
        <w:adjustRightInd/>
        <w:snapToGrid/>
        <w:spacing w:line="240" w:lineRule="auto"/>
        <w:textAlignment w:val="auto"/>
      </w:pPr>
      <w:r>
        <w:rPr>
          <w:rFonts w:hint="eastAsia"/>
        </w:rPr>
        <w:t>原材料开采、生产过程的碳排放量应按下式计算：</w:t>
      </w:r>
    </w:p>
    <w:p>
      <w:pPr>
        <w:keepNext w:val="0"/>
        <w:keepLines w:val="0"/>
        <w:pageBreakBefore w:val="0"/>
        <w:widowControl/>
        <w:numPr>
          <w:ilvl w:val="255"/>
          <w:numId w:val="0"/>
        </w:numPr>
        <w:tabs>
          <w:tab w:val="center" w:pos="4150"/>
          <w:tab w:val="right" w:pos="8301"/>
        </w:tabs>
        <w:kinsoku/>
        <w:wordWrap/>
        <w:overflowPunct/>
        <w:topLinePunct w:val="0"/>
        <w:autoSpaceDE/>
        <w:autoSpaceDN/>
        <w:bidi w:val="0"/>
        <w:adjustRightInd/>
        <w:snapToGrid/>
        <w:spacing w:line="240" w:lineRule="auto"/>
        <w:ind w:left="851" w:hanging="426"/>
        <w:jc w:val="right"/>
        <w:textAlignment w:val="auto"/>
        <w:rPr>
          <w:rFonts w:ascii="宋体" w:hAnsi="宋体" w:cs="宋体"/>
          <w:kern w:val="0"/>
        </w:rPr>
      </w:pPr>
      <w:r>
        <w:rPr>
          <w:rFonts w:hint="eastAsia" w:ascii="宋体" w:hAnsi="宋体" w:cs="宋体"/>
          <w:bCs/>
          <w:kern w:val="0"/>
        </w:rPr>
        <w:tab/>
      </w:r>
      <m:oMath>
        <m:sSub>
          <m:sSubPr>
            <m:ctrlPr>
              <w:rPr>
                <w:rFonts w:hint="eastAsia" w:ascii="Cambria Math" w:hAnsi="Cambria Math" w:cs="宋体"/>
                <w:bCs/>
                <w:kern w:val="0"/>
              </w:rPr>
            </m:ctrlPr>
          </m:sSubPr>
          <m:e>
            <m:r>
              <m:rPr/>
              <w:rPr>
                <w:rFonts w:hint="eastAsia" w:ascii="Cambria Math" w:hAnsi="Cambria Math" w:cs="宋体"/>
                <w:kern w:val="0"/>
              </w:rPr>
              <m:t>C</m:t>
            </m:r>
            <m:ctrlPr>
              <w:rPr>
                <w:rFonts w:hint="eastAsia" w:ascii="Cambria Math" w:hAnsi="Cambria Math" w:cs="宋体"/>
                <w:bCs/>
                <w:kern w:val="0"/>
              </w:rPr>
            </m:ctrlPr>
          </m:e>
          <m:sub>
            <m:r>
              <m:rPr>
                <m:sty m:val="p"/>
              </m:rPr>
              <w:rPr>
                <w:rFonts w:hint="eastAsia" w:ascii="Cambria Math" w:hAnsi="Cambria Math" w:cs="宋体"/>
                <w:kern w:val="0"/>
              </w:rPr>
              <m:t>1</m:t>
            </m:r>
            <m:ctrlPr>
              <w:rPr>
                <w:rFonts w:hint="eastAsia" w:ascii="Cambria Math" w:hAnsi="Cambria Math" w:cs="宋体"/>
                <w:bCs/>
                <w:kern w:val="0"/>
              </w:rPr>
            </m:ctrlPr>
          </m:sub>
        </m:sSub>
        <m:r>
          <m:rPr>
            <m:sty m:val="p"/>
          </m:rPr>
          <w:rPr>
            <w:rFonts w:hint="eastAsia" w:ascii="Cambria Math" w:hAnsi="Cambria Math" w:cs="宋体"/>
            <w:kern w:val="0"/>
          </w:rPr>
          <m:t>=</m:t>
        </m:r>
        <m:nary>
          <m:naryPr>
            <m:chr m:val="∑"/>
            <m:limLoc m:val="subSup"/>
            <m:ctrlPr>
              <w:rPr>
                <w:rFonts w:hint="eastAsia" w:ascii="Cambria Math" w:hAnsi="Cambria Math" w:cs="宋体"/>
                <w:bCs/>
                <w:kern w:val="0"/>
              </w:rPr>
            </m:ctrlPr>
          </m:naryPr>
          <m:sub>
            <m:r>
              <m:rPr/>
              <w:rPr>
                <w:rFonts w:hint="eastAsia" w:ascii="Cambria Math" w:hAnsi="Cambria Math" w:cs="宋体"/>
                <w:kern w:val="0"/>
              </w:rPr>
              <m:t>i</m:t>
            </m:r>
            <m:r>
              <m:rPr>
                <m:sty m:val="p"/>
              </m:rPr>
              <w:rPr>
                <w:rFonts w:hint="eastAsia" w:ascii="Cambria Math" w:hAnsi="Cambria Math" w:cs="宋体"/>
                <w:kern w:val="0"/>
              </w:rPr>
              <m:t>=1</m:t>
            </m:r>
            <m:ctrlPr>
              <w:rPr>
                <w:rFonts w:hint="eastAsia" w:ascii="Cambria Math" w:hAnsi="Cambria Math" w:cs="宋体"/>
                <w:bCs/>
                <w:kern w:val="0"/>
              </w:rPr>
            </m:ctrlPr>
          </m:sub>
          <m:sup>
            <m:r>
              <m:rPr/>
              <w:rPr>
                <w:rFonts w:hint="eastAsia" w:ascii="Cambria Math" w:hAnsi="Cambria Math" w:cs="宋体"/>
                <w:kern w:val="0"/>
              </w:rPr>
              <m:t>n</m:t>
            </m:r>
            <m:ctrlPr>
              <w:rPr>
                <w:rFonts w:hint="eastAsia" w:ascii="Cambria Math" w:hAnsi="Cambria Math" w:cs="宋体"/>
                <w:bCs/>
                <w:kern w:val="0"/>
              </w:rPr>
            </m:ctrlPr>
          </m:sup>
          <m:e>
            <m:sSub>
              <m:sSubPr>
                <m:ctrlPr>
                  <w:rPr>
                    <w:rFonts w:hint="eastAsia" w:ascii="Cambria Math" w:hAnsi="Cambria Math" w:cs="宋体"/>
                    <w:bCs/>
                    <w:kern w:val="0"/>
                  </w:rPr>
                </m:ctrlPr>
              </m:sSubPr>
              <m:e>
                <m:r>
                  <m:rPr/>
                  <w:rPr>
                    <w:rFonts w:hint="eastAsia" w:ascii="Cambria Math" w:hAnsi="Cambria Math" w:cs="宋体"/>
                    <w:kern w:val="0"/>
                  </w:rPr>
                  <m:t>M</m:t>
                </m:r>
                <m:ctrlPr>
                  <w:rPr>
                    <w:rFonts w:hint="eastAsia" w:ascii="Cambria Math" w:hAnsi="Cambria Math" w:cs="宋体"/>
                    <w:bCs/>
                    <w:kern w:val="0"/>
                  </w:rPr>
                </m:ctrlPr>
              </m:e>
              <m:sub>
                <m:r>
                  <m:rPr/>
                  <w:rPr>
                    <w:rFonts w:hint="eastAsia" w:ascii="Cambria Math" w:hAnsi="Cambria Math" w:cs="宋体"/>
                    <w:kern w:val="0"/>
                  </w:rPr>
                  <m:t>i</m:t>
                </m:r>
                <m:ctrlPr>
                  <w:rPr>
                    <w:rFonts w:hint="eastAsia" w:ascii="Cambria Math" w:hAnsi="Cambria Math" w:cs="宋体"/>
                    <w:bCs/>
                    <w:kern w:val="0"/>
                  </w:rPr>
                </m:ctrlPr>
              </m:sub>
            </m:sSub>
            <m:d>
              <m:dPr>
                <m:ctrlPr>
                  <w:rPr>
                    <w:rFonts w:hint="eastAsia" w:ascii="Cambria Math" w:hAnsi="Cambria Math" w:cs="宋体"/>
                    <w:bCs/>
                    <w:kern w:val="0"/>
                  </w:rPr>
                </m:ctrlPr>
              </m:dPr>
              <m:e>
                <m:r>
                  <m:rPr>
                    <m:sty m:val="p"/>
                  </m:rPr>
                  <w:rPr>
                    <w:rFonts w:hint="eastAsia" w:ascii="Cambria Math" w:hAnsi="Cambria Math" w:cs="宋体"/>
                    <w:kern w:val="0"/>
                  </w:rPr>
                  <m:t>1−</m:t>
                </m:r>
                <m:sSub>
                  <m:sSubPr>
                    <m:ctrlPr>
                      <w:rPr>
                        <w:rFonts w:hint="eastAsia" w:ascii="Cambria Math" w:hAnsi="Cambria Math" w:cs="宋体"/>
                        <w:bCs/>
                        <w:kern w:val="0"/>
                      </w:rPr>
                    </m:ctrlPr>
                  </m:sSubPr>
                  <m:e>
                    <m:r>
                      <m:rPr/>
                      <w:rPr>
                        <w:rFonts w:hint="eastAsia" w:ascii="Cambria Math" w:hAnsi="Cambria Math" w:cs="宋体"/>
                        <w:kern w:val="0"/>
                      </w:rPr>
                      <m:t>α</m:t>
                    </m:r>
                    <m:ctrlPr>
                      <w:rPr>
                        <w:rFonts w:hint="eastAsia" w:ascii="Cambria Math" w:hAnsi="Cambria Math" w:cs="宋体"/>
                        <w:bCs/>
                        <w:kern w:val="0"/>
                      </w:rPr>
                    </m:ctrlPr>
                  </m:e>
                  <m:sub>
                    <m:r>
                      <m:rPr/>
                      <w:rPr>
                        <w:rFonts w:hint="eastAsia" w:ascii="Cambria Math" w:hAnsi="Cambria Math" w:cs="宋体"/>
                        <w:kern w:val="0"/>
                      </w:rPr>
                      <m:t>i</m:t>
                    </m:r>
                    <m:ctrlPr>
                      <w:rPr>
                        <w:rFonts w:hint="eastAsia" w:ascii="Cambria Math" w:hAnsi="Cambria Math" w:cs="宋体"/>
                        <w:bCs/>
                        <w:kern w:val="0"/>
                      </w:rPr>
                    </m:ctrlPr>
                  </m:sub>
                </m:sSub>
                <m:ctrlPr>
                  <w:rPr>
                    <w:rFonts w:hint="eastAsia" w:ascii="Cambria Math" w:hAnsi="Cambria Math" w:cs="宋体"/>
                    <w:bCs/>
                    <w:kern w:val="0"/>
                  </w:rPr>
                </m:ctrlPr>
              </m:e>
            </m:d>
            <m:sSub>
              <m:sSubPr>
                <m:ctrlPr>
                  <w:rPr>
                    <w:rFonts w:hint="eastAsia" w:ascii="Cambria Math" w:hAnsi="Cambria Math" w:cs="宋体"/>
                    <w:bCs/>
                    <w:kern w:val="0"/>
                  </w:rPr>
                </m:ctrlPr>
              </m:sSubPr>
              <m:e>
                <m:r>
                  <m:rPr/>
                  <w:rPr>
                    <w:rFonts w:hint="eastAsia" w:ascii="Cambria Math" w:hAnsi="Cambria Math" w:cs="宋体"/>
                    <w:kern w:val="0"/>
                  </w:rPr>
                  <m:t>F</m:t>
                </m:r>
                <m:ctrlPr>
                  <w:rPr>
                    <w:rFonts w:hint="eastAsia" w:ascii="Cambria Math" w:hAnsi="Cambria Math" w:cs="宋体"/>
                    <w:bCs/>
                    <w:kern w:val="0"/>
                  </w:rPr>
                </m:ctrlPr>
              </m:e>
              <m:sub>
                <m:r>
                  <m:rPr/>
                  <w:rPr>
                    <w:rFonts w:hint="eastAsia" w:ascii="Cambria Math" w:hAnsi="Cambria Math" w:cs="宋体"/>
                    <w:kern w:val="0"/>
                  </w:rPr>
                  <m:t>i</m:t>
                </m:r>
                <m:ctrlPr>
                  <w:rPr>
                    <w:rFonts w:hint="eastAsia" w:ascii="Cambria Math" w:hAnsi="Cambria Math" w:cs="宋体"/>
                    <w:bCs/>
                    <w:kern w:val="0"/>
                  </w:rPr>
                </m:ctrlPr>
              </m:sub>
            </m:sSub>
            <m:ctrlPr>
              <w:rPr>
                <w:rFonts w:hint="eastAsia" w:ascii="Cambria Math" w:hAnsi="Cambria Math" w:cs="宋体"/>
                <w:bCs/>
                <w:kern w:val="0"/>
              </w:rPr>
            </m:ctrlPr>
          </m:e>
        </m:nary>
      </m:oMath>
      <w:r>
        <w:rPr>
          <w:rFonts w:hint="eastAsia" w:ascii="宋体" w:hAnsi="宋体" w:cs="宋体"/>
          <w:bCs/>
          <w:kern w:val="0"/>
        </w:rPr>
        <w:t xml:space="preserve">    </w:t>
      </w:r>
      <w:r>
        <w:rPr>
          <w:rFonts w:ascii="宋体" w:hAnsi="宋体" w:cs="宋体"/>
          <w:bCs/>
          <w:kern w:val="0"/>
        </w:rPr>
        <w:t xml:space="preserve">             </w:t>
      </w:r>
      <w:r>
        <w:rPr>
          <w:rFonts w:hint="eastAsia" w:ascii="宋体" w:hAnsi="宋体" w:cs="宋体"/>
          <w:bCs/>
          <w:kern w:val="0"/>
        </w:rPr>
        <w:t xml:space="preserve">     </w:t>
      </w:r>
      <w:r>
        <w:rPr>
          <w:rFonts w:ascii="宋体" w:hAnsi="宋体" w:cs="宋体"/>
          <w:bCs/>
          <w:kern w:val="0"/>
        </w:rPr>
        <w:t xml:space="preserve">     </w:t>
      </w:r>
      <w:r>
        <w:rPr>
          <w:rFonts w:hint="eastAsia" w:ascii="宋体" w:hAnsi="宋体" w:cs="宋体"/>
          <w:bCs/>
          <w:kern w:val="0"/>
        </w:rPr>
        <w:t xml:space="preserve"> （</w:t>
      </w:r>
      <w:r>
        <w:rPr>
          <w:rFonts w:ascii="宋体" w:hAnsi="宋体" w:cs="宋体"/>
          <w:bCs/>
          <w:kern w:val="0"/>
        </w:rPr>
        <w:t>2</w:t>
      </w:r>
      <w:r>
        <w:rPr>
          <w:rFonts w:hint="eastAsia" w:ascii="宋体" w:hAnsi="宋体" w:cs="宋体"/>
          <w:bCs/>
          <w:kern w:val="0"/>
        </w:rPr>
        <w:t>）</w:t>
      </w:r>
    </w:p>
    <w:p>
      <w:pPr>
        <w:keepNext w:val="0"/>
        <w:keepLines w:val="0"/>
        <w:pageBreakBefore w:val="0"/>
        <w:widowControl/>
        <w:numPr>
          <w:ilvl w:val="255"/>
          <w:numId w:val="0"/>
        </w:numPr>
        <w:kinsoku/>
        <w:wordWrap/>
        <w:overflowPunct/>
        <w:topLinePunct w:val="0"/>
        <w:autoSpaceDE/>
        <w:autoSpaceDN/>
        <w:bidi w:val="0"/>
        <w:adjustRightInd/>
        <w:snapToGrid/>
        <w:spacing w:line="240" w:lineRule="auto"/>
        <w:ind w:firstLine="420" w:firstLineChars="200"/>
        <w:jc w:val="left"/>
        <w:textAlignment w:val="auto"/>
        <w:rPr>
          <w:rFonts w:ascii="宋体" w:hAnsi="宋体" w:cs="宋体"/>
          <w:bCs/>
          <w:kern w:val="0"/>
        </w:rPr>
      </w:pPr>
      <w:r>
        <w:rPr>
          <w:rFonts w:hint="eastAsia" w:ascii="宋体" w:hAnsi="宋体" w:cs="宋体"/>
          <w:bCs/>
          <w:kern w:val="0"/>
        </w:rPr>
        <w:t>式中：</w:t>
      </w:r>
    </w:p>
    <w:p>
      <w:pPr>
        <w:keepNext w:val="0"/>
        <w:keepLines w:val="0"/>
        <w:pageBreakBefore w:val="0"/>
        <w:widowControl/>
        <w:numPr>
          <w:ilvl w:val="255"/>
          <w:numId w:val="0"/>
        </w:numPr>
        <w:kinsoku/>
        <w:wordWrap/>
        <w:overflowPunct/>
        <w:topLinePunct w:val="0"/>
        <w:autoSpaceDE/>
        <w:autoSpaceDN/>
        <w:bidi w:val="0"/>
        <w:adjustRightInd/>
        <w:snapToGrid/>
        <w:spacing w:line="240" w:lineRule="auto"/>
        <w:ind w:firstLine="420" w:firstLineChars="200"/>
        <w:jc w:val="left"/>
        <w:textAlignment w:val="auto"/>
        <w:rPr>
          <w:rFonts w:ascii="宋体" w:hAnsi="宋体" w:cs="宋体"/>
          <w:bCs/>
          <w:kern w:val="0"/>
        </w:rPr>
      </w:pPr>
      <m:oMath>
        <m:sSub>
          <m:sSubPr>
            <m:ctrlPr>
              <w:rPr>
                <w:rFonts w:hint="eastAsia" w:ascii="Cambria Math" w:hAnsi="Cambria Math" w:cs="宋体"/>
                <w:bCs/>
                <w:i/>
                <w:kern w:val="0"/>
              </w:rPr>
            </m:ctrlPr>
          </m:sSubPr>
          <m:e>
            <m:r>
              <m:rPr/>
              <w:rPr>
                <w:rFonts w:hint="eastAsia" w:ascii="Cambria Math" w:hAnsi="Cambria Math" w:cs="宋体"/>
                <w:kern w:val="0"/>
              </w:rPr>
              <m:t>M</m:t>
            </m:r>
            <m:ctrlPr>
              <w:rPr>
                <w:rFonts w:hint="eastAsia" w:ascii="Cambria Math" w:hAnsi="Cambria Math" w:cs="宋体"/>
                <w:bCs/>
                <w:i/>
                <w:kern w:val="0"/>
              </w:rPr>
            </m:ctrlPr>
          </m:e>
          <m:sub>
            <m:r>
              <m:rPr/>
              <w:rPr>
                <w:rFonts w:hint="eastAsia" w:ascii="Cambria Math" w:hAnsi="Cambria Math" w:cs="宋体"/>
                <w:kern w:val="0"/>
              </w:rPr>
              <m:t>i</m:t>
            </m:r>
            <m:ctrlPr>
              <w:rPr>
                <w:rFonts w:hint="eastAsia" w:ascii="Cambria Math" w:hAnsi="Cambria Math" w:cs="宋体"/>
                <w:bCs/>
                <w:i/>
                <w:kern w:val="0"/>
              </w:rPr>
            </m:ctrlPr>
          </m:sub>
        </m:sSub>
      </m:oMath>
      <w:r>
        <w:rPr>
          <w:rFonts w:hint="eastAsia" w:ascii="宋体" w:hAnsi="宋体" w:cs="宋体"/>
          <w:bCs/>
          <w:kern w:val="0"/>
        </w:rPr>
        <w:t>——每立方米</w:t>
      </w:r>
      <w:r>
        <w:rPr>
          <w:rFonts w:hint="eastAsia" w:ascii="宋体" w:hAnsi="宋体" w:cs="宋体"/>
          <w:kern w:val="0"/>
        </w:rPr>
        <w:t>预拌混凝土中</w:t>
      </w:r>
      <w:r>
        <w:rPr>
          <w:rFonts w:hint="eastAsia" w:ascii="宋体" w:hAnsi="宋体" w:cs="宋体"/>
          <w:bCs/>
          <w:kern w:val="0"/>
        </w:rPr>
        <w:t>第</w:t>
      </w:r>
      <w:r>
        <w:rPr>
          <w:rFonts w:hint="eastAsia" w:ascii="宋体" w:hAnsi="宋体" w:cs="宋体"/>
          <w:bCs/>
          <w:i/>
          <w:iCs/>
          <w:kern w:val="0"/>
        </w:rPr>
        <w:t>i</w:t>
      </w:r>
      <w:r>
        <w:rPr>
          <w:rFonts w:hint="eastAsia" w:ascii="宋体" w:hAnsi="宋体" w:cs="宋体"/>
          <w:bCs/>
          <w:kern w:val="0"/>
        </w:rPr>
        <w:t>种原材料的消耗量；</w:t>
      </w:r>
    </w:p>
    <w:p>
      <w:pPr>
        <w:keepNext w:val="0"/>
        <w:keepLines w:val="0"/>
        <w:pageBreakBefore w:val="0"/>
        <w:widowControl/>
        <w:numPr>
          <w:ilvl w:val="255"/>
          <w:numId w:val="0"/>
        </w:numPr>
        <w:kinsoku/>
        <w:wordWrap/>
        <w:overflowPunct/>
        <w:topLinePunct w:val="0"/>
        <w:autoSpaceDE/>
        <w:autoSpaceDN/>
        <w:bidi w:val="0"/>
        <w:adjustRightInd/>
        <w:snapToGrid/>
        <w:spacing w:line="240" w:lineRule="auto"/>
        <w:ind w:firstLine="420" w:firstLineChars="200"/>
        <w:jc w:val="left"/>
        <w:textAlignment w:val="auto"/>
        <w:rPr>
          <w:rFonts w:ascii="宋体" w:hAnsi="宋体" w:cs="宋体"/>
          <w:bCs/>
          <w:kern w:val="0"/>
        </w:rPr>
      </w:pPr>
      <m:oMath>
        <m:sSub>
          <m:sSubPr>
            <m:ctrlPr>
              <w:rPr>
                <w:rFonts w:hint="eastAsia" w:ascii="Cambria Math" w:hAnsi="Cambria Math" w:cs="宋体"/>
                <w:bCs/>
                <w:i/>
                <w:kern w:val="0"/>
              </w:rPr>
            </m:ctrlPr>
          </m:sSubPr>
          <m:e>
            <m:r>
              <m:rPr/>
              <w:rPr>
                <w:rFonts w:hint="eastAsia" w:ascii="Cambria Math" w:hAnsi="Cambria Math" w:cs="宋体"/>
                <w:kern w:val="0"/>
              </w:rPr>
              <m:t>F</m:t>
            </m:r>
            <m:ctrlPr>
              <w:rPr>
                <w:rFonts w:hint="eastAsia" w:ascii="Cambria Math" w:hAnsi="Cambria Math" w:cs="宋体"/>
                <w:bCs/>
                <w:i/>
                <w:kern w:val="0"/>
              </w:rPr>
            </m:ctrlPr>
          </m:e>
          <m:sub>
            <m:r>
              <m:rPr/>
              <w:rPr>
                <w:rFonts w:hint="eastAsia" w:ascii="Cambria Math" w:hAnsi="Cambria Math" w:cs="宋体"/>
                <w:kern w:val="0"/>
              </w:rPr>
              <m:t>i</m:t>
            </m:r>
            <m:ctrlPr>
              <w:rPr>
                <w:rFonts w:hint="eastAsia" w:ascii="Cambria Math" w:hAnsi="Cambria Math" w:cs="宋体"/>
                <w:bCs/>
                <w:i/>
                <w:kern w:val="0"/>
              </w:rPr>
            </m:ctrlPr>
          </m:sub>
        </m:sSub>
      </m:oMath>
      <w:r>
        <w:rPr>
          <w:rFonts w:hint="eastAsia" w:ascii="宋体" w:hAnsi="宋体" w:cs="宋体"/>
          <w:bCs/>
          <w:kern w:val="0"/>
        </w:rPr>
        <w:t>——第</w:t>
      </w:r>
      <w:r>
        <w:rPr>
          <w:rFonts w:hint="eastAsia" w:ascii="宋体" w:hAnsi="宋体" w:cs="宋体"/>
          <w:bCs/>
          <w:i/>
          <w:iCs/>
          <w:kern w:val="0"/>
        </w:rPr>
        <w:t>i</w:t>
      </w:r>
      <w:r>
        <w:rPr>
          <w:rFonts w:hint="eastAsia" w:ascii="宋体" w:hAnsi="宋体" w:cs="宋体"/>
          <w:bCs/>
          <w:kern w:val="0"/>
        </w:rPr>
        <w:t>类原材料的碳排放因子，应按表3选取；</w:t>
      </w:r>
    </w:p>
    <w:p>
      <w:pPr>
        <w:keepNext w:val="0"/>
        <w:keepLines w:val="0"/>
        <w:pageBreakBefore w:val="0"/>
        <w:widowControl/>
        <w:numPr>
          <w:ilvl w:val="255"/>
          <w:numId w:val="0"/>
        </w:numPr>
        <w:kinsoku/>
        <w:wordWrap/>
        <w:overflowPunct/>
        <w:topLinePunct w:val="0"/>
        <w:autoSpaceDE/>
        <w:autoSpaceDN/>
        <w:bidi w:val="0"/>
        <w:adjustRightInd/>
        <w:snapToGrid/>
        <w:spacing w:line="240" w:lineRule="auto"/>
        <w:ind w:firstLine="420" w:firstLineChars="200"/>
        <w:jc w:val="left"/>
        <w:textAlignment w:val="auto"/>
        <w:rPr>
          <w:rFonts w:ascii="宋体" w:hAnsi="宋体" w:cs="宋体"/>
          <w:bCs/>
          <w:kern w:val="0"/>
        </w:rPr>
      </w:pPr>
      <m:oMath>
        <m:sSub>
          <m:sSubPr>
            <m:ctrlPr>
              <w:rPr>
                <w:rFonts w:hint="eastAsia" w:ascii="Cambria Math" w:hAnsi="Cambria Math" w:cs="宋体"/>
                <w:bCs/>
                <w:i/>
                <w:kern w:val="0"/>
              </w:rPr>
            </m:ctrlPr>
          </m:sSubPr>
          <m:e>
            <m:r>
              <m:rPr/>
              <w:rPr>
                <w:rFonts w:hint="eastAsia" w:ascii="Cambria Math" w:hAnsi="Cambria Math" w:cs="宋体"/>
                <w:kern w:val="0"/>
              </w:rPr>
              <m:t>α</m:t>
            </m:r>
            <m:ctrlPr>
              <w:rPr>
                <w:rFonts w:hint="eastAsia" w:ascii="Cambria Math" w:hAnsi="Cambria Math" w:cs="宋体"/>
                <w:bCs/>
                <w:i/>
                <w:kern w:val="0"/>
              </w:rPr>
            </m:ctrlPr>
          </m:e>
          <m:sub>
            <m:r>
              <m:rPr/>
              <w:rPr>
                <w:rFonts w:hint="eastAsia" w:ascii="Cambria Math" w:hAnsi="Cambria Math" w:cs="宋体"/>
                <w:kern w:val="0"/>
              </w:rPr>
              <m:t>i</m:t>
            </m:r>
            <m:ctrlPr>
              <w:rPr>
                <w:rFonts w:hint="eastAsia" w:ascii="Cambria Math" w:hAnsi="Cambria Math" w:cs="宋体"/>
                <w:bCs/>
                <w:i/>
                <w:kern w:val="0"/>
              </w:rPr>
            </m:ctrlPr>
          </m:sub>
        </m:sSub>
      </m:oMath>
      <w:r>
        <w:rPr>
          <w:rFonts w:hint="eastAsia" w:ascii="宋体" w:hAnsi="宋体" w:cs="宋体"/>
          <w:bCs/>
          <w:kern w:val="0"/>
        </w:rPr>
        <w:t>——每立方米第</w:t>
      </w:r>
      <w:r>
        <w:rPr>
          <w:rFonts w:hint="eastAsia" w:ascii="宋体" w:hAnsi="宋体" w:cs="宋体"/>
          <w:bCs/>
          <w:i/>
          <w:iCs/>
          <w:kern w:val="0"/>
        </w:rPr>
        <w:t>i</w:t>
      </w:r>
      <w:r>
        <w:rPr>
          <w:rFonts w:hint="eastAsia" w:ascii="宋体" w:hAnsi="宋体" w:cs="宋体"/>
          <w:bCs/>
          <w:kern w:val="0"/>
        </w:rPr>
        <w:t>类原材料的废弃物掺量占比。</w:t>
      </w:r>
    </w:p>
    <w:p>
      <w:pPr>
        <w:numPr>
          <w:ilvl w:val="255"/>
          <w:numId w:val="0"/>
        </w:numPr>
        <w:tabs>
          <w:tab w:val="left" w:pos="20"/>
        </w:tabs>
        <w:adjustRightInd/>
        <w:spacing w:before="156" w:beforeLines="50" w:after="156" w:afterLines="50" w:line="240" w:lineRule="auto"/>
        <w:jc w:val="center"/>
        <w:rPr>
          <w:rFonts w:ascii="黑体" w:hAnsi="黑体" w:eastAsia="黑体" w:cs="黑体"/>
          <w:b/>
        </w:rPr>
      </w:pPr>
      <w:r>
        <w:rPr>
          <w:rFonts w:hint="eastAsia" w:ascii="黑体" w:hAnsi="黑体" w:eastAsia="黑体" w:cs="黑体"/>
          <w:bCs/>
        </w:rPr>
        <w:t>表3  预拌混凝土主要原材料碳排放因子值（kgCO</w:t>
      </w:r>
      <w:r>
        <w:rPr>
          <w:rFonts w:hint="eastAsia" w:ascii="黑体" w:hAnsi="黑体" w:eastAsia="黑体" w:cs="黑体"/>
          <w:bCs/>
          <w:vertAlign w:val="subscript"/>
        </w:rPr>
        <w:t>2</w:t>
      </w:r>
      <w:r>
        <w:rPr>
          <w:rFonts w:hint="eastAsia" w:ascii="黑体" w:hAnsi="黑体" w:eastAsia="黑体" w:cs="黑体"/>
          <w:bCs/>
        </w:rPr>
        <w:t>e/t）</w:t>
      </w:r>
    </w:p>
    <w:tbl>
      <w:tblPr>
        <w:tblStyle w:val="27"/>
        <w:tblW w:w="907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3123"/>
        <w:gridCol w:w="1422"/>
        <w:gridCol w:w="2972"/>
        <w:gridCol w:w="156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23" w:type="dxa"/>
            <w:tcBorders>
              <w:top w:val="single" w:color="auto" w:sz="8" w:space="0"/>
              <w:left w:val="single" w:color="auto" w:sz="8" w:space="0"/>
              <w:bottom w:val="single" w:color="auto" w:sz="8" w:space="0"/>
              <w:right w:val="single" w:color="auto" w:sz="4" w:space="0"/>
            </w:tcBorders>
            <w:vAlign w:val="center"/>
          </w:tcPr>
          <w:p>
            <w:pPr>
              <w:numPr>
                <w:ilvl w:val="255"/>
                <w:numId w:val="0"/>
              </w:numPr>
              <w:adjustRightInd/>
              <w:snapToGrid w:val="0"/>
              <w:spacing w:line="240" w:lineRule="auto"/>
              <w:jc w:val="center"/>
              <w:rPr>
                <w:rFonts w:ascii="宋体" w:hAnsi="宋体" w:cs="宋体"/>
                <w:sz w:val="18"/>
                <w:szCs w:val="18"/>
              </w:rPr>
            </w:pPr>
            <w:r>
              <w:rPr>
                <w:rFonts w:hint="eastAsia" w:ascii="宋体" w:hAnsi="宋体" w:cs="宋体"/>
                <w:sz w:val="18"/>
                <w:szCs w:val="18"/>
              </w:rPr>
              <w:t>材料类别</w:t>
            </w:r>
          </w:p>
        </w:tc>
        <w:tc>
          <w:tcPr>
            <w:tcW w:w="1422" w:type="dxa"/>
            <w:tcBorders>
              <w:top w:val="single" w:color="auto" w:sz="8" w:space="0"/>
              <w:left w:val="single" w:color="auto" w:sz="4" w:space="0"/>
              <w:bottom w:val="single" w:color="auto" w:sz="8" w:space="0"/>
              <w:right w:val="single" w:color="auto" w:sz="4" w:space="0"/>
            </w:tcBorders>
            <w:vAlign w:val="center"/>
          </w:tcPr>
          <w:p>
            <w:pPr>
              <w:numPr>
                <w:ilvl w:val="255"/>
                <w:numId w:val="0"/>
              </w:numPr>
              <w:adjustRightInd/>
              <w:snapToGrid w:val="0"/>
              <w:spacing w:line="240" w:lineRule="auto"/>
              <w:jc w:val="center"/>
              <w:rPr>
                <w:rFonts w:ascii="宋体" w:hAnsi="宋体" w:cs="宋体"/>
                <w:sz w:val="18"/>
                <w:szCs w:val="18"/>
              </w:rPr>
            </w:pPr>
            <w:r>
              <w:rPr>
                <w:rFonts w:hint="eastAsia" w:ascii="宋体" w:hAnsi="宋体" w:cs="宋体"/>
                <w:sz w:val="18"/>
                <w:szCs w:val="18"/>
                <w:lang w:bidi="ar"/>
              </w:rPr>
              <w:t>数值</w:t>
            </w:r>
          </w:p>
        </w:tc>
        <w:tc>
          <w:tcPr>
            <w:tcW w:w="2972" w:type="dxa"/>
            <w:tcBorders>
              <w:top w:val="single" w:color="auto" w:sz="8" w:space="0"/>
              <w:left w:val="single" w:color="auto" w:sz="4" w:space="0"/>
              <w:bottom w:val="single" w:color="auto" w:sz="8" w:space="0"/>
              <w:right w:val="single" w:color="auto" w:sz="4" w:space="0"/>
            </w:tcBorders>
            <w:vAlign w:val="center"/>
          </w:tcPr>
          <w:p>
            <w:pPr>
              <w:numPr>
                <w:ilvl w:val="255"/>
                <w:numId w:val="0"/>
              </w:numPr>
              <w:adjustRightInd/>
              <w:snapToGrid w:val="0"/>
              <w:spacing w:line="240" w:lineRule="auto"/>
              <w:jc w:val="center"/>
              <w:rPr>
                <w:rFonts w:ascii="宋体" w:hAnsi="宋体" w:cs="宋体"/>
                <w:sz w:val="18"/>
                <w:szCs w:val="18"/>
              </w:rPr>
            </w:pPr>
            <w:r>
              <w:rPr>
                <w:rFonts w:hint="eastAsia" w:ascii="宋体" w:hAnsi="宋体" w:cs="宋体"/>
                <w:sz w:val="18"/>
                <w:szCs w:val="18"/>
              </w:rPr>
              <w:t>材料类别</w:t>
            </w:r>
          </w:p>
        </w:tc>
        <w:tc>
          <w:tcPr>
            <w:tcW w:w="1561" w:type="dxa"/>
            <w:tcBorders>
              <w:top w:val="single" w:color="auto" w:sz="8" w:space="0"/>
              <w:left w:val="single" w:color="auto" w:sz="4" w:space="0"/>
              <w:bottom w:val="single" w:color="auto" w:sz="8" w:space="0"/>
              <w:right w:val="single" w:color="auto" w:sz="8" w:space="0"/>
            </w:tcBorders>
            <w:vAlign w:val="center"/>
          </w:tcPr>
          <w:p>
            <w:pPr>
              <w:numPr>
                <w:ilvl w:val="255"/>
                <w:numId w:val="0"/>
              </w:numPr>
              <w:adjustRightInd/>
              <w:snapToGrid w:val="0"/>
              <w:spacing w:line="240" w:lineRule="auto"/>
              <w:jc w:val="center"/>
              <w:rPr>
                <w:rFonts w:ascii="宋体" w:hAnsi="宋体" w:cs="宋体"/>
                <w:sz w:val="18"/>
                <w:szCs w:val="18"/>
              </w:rPr>
            </w:pPr>
            <w:r>
              <w:rPr>
                <w:rFonts w:hint="eastAsia" w:ascii="宋体" w:hAnsi="宋体" w:cs="宋体"/>
                <w:sz w:val="18"/>
                <w:szCs w:val="18"/>
                <w:lang w:bidi="ar"/>
              </w:rPr>
              <w:t>数值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23" w:type="dxa"/>
            <w:tcBorders>
              <w:top w:val="single" w:color="auto" w:sz="8" w:space="0"/>
              <w:left w:val="single" w:color="auto" w:sz="8" w:space="0"/>
              <w:bottom w:val="single" w:color="auto" w:sz="4" w:space="0"/>
              <w:right w:val="single" w:color="auto" w:sz="4" w:space="0"/>
            </w:tcBorders>
            <w:shd w:val="clear" w:color="000000" w:fill="FFFFFF"/>
            <w:vAlign w:val="center"/>
          </w:tcPr>
          <w:p>
            <w:pPr>
              <w:widowControl/>
              <w:numPr>
                <w:ilvl w:val="255"/>
                <w:numId w:val="0"/>
              </w:numPr>
              <w:adjustRightInd/>
              <w:snapToGrid w:val="0"/>
              <w:spacing w:line="240" w:lineRule="auto"/>
              <w:jc w:val="center"/>
              <w:rPr>
                <w:rFonts w:ascii="宋体" w:hAnsi="宋体" w:cs="宋体"/>
                <w:bCs/>
                <w:sz w:val="18"/>
                <w:szCs w:val="18"/>
                <w:lang w:bidi="ar"/>
              </w:rPr>
            </w:pPr>
            <w:r>
              <w:rPr>
                <w:rFonts w:hint="eastAsia" w:ascii="宋体" w:hAnsi="宋体" w:cs="宋体"/>
                <w:bCs/>
                <w:sz w:val="18"/>
                <w:szCs w:val="18"/>
                <w:lang w:bidi="ar"/>
              </w:rPr>
              <w:t>水泥P·O 42.5</w:t>
            </w:r>
          </w:p>
        </w:tc>
        <w:tc>
          <w:tcPr>
            <w:tcW w:w="1422" w:type="dxa"/>
            <w:tcBorders>
              <w:top w:val="single" w:color="auto" w:sz="8" w:space="0"/>
              <w:left w:val="single" w:color="auto" w:sz="4" w:space="0"/>
              <w:bottom w:val="single" w:color="auto" w:sz="4" w:space="0"/>
              <w:right w:val="single" w:color="auto" w:sz="4" w:space="0"/>
            </w:tcBorders>
            <w:vAlign w:val="center"/>
          </w:tcPr>
          <w:p>
            <w:pPr>
              <w:widowControl/>
              <w:numPr>
                <w:ilvl w:val="255"/>
                <w:numId w:val="0"/>
              </w:numPr>
              <w:adjustRightInd/>
              <w:snapToGrid w:val="0"/>
              <w:spacing w:line="240" w:lineRule="auto"/>
              <w:ind w:left="-65" w:leftChars="-31" w:right="315" w:rightChars="150"/>
              <w:jc w:val="center"/>
              <w:rPr>
                <w:rFonts w:ascii="宋体" w:hAnsi="宋体" w:cs="宋体"/>
                <w:bCs/>
                <w:sz w:val="18"/>
                <w:szCs w:val="18"/>
                <w:lang w:bidi="ar"/>
              </w:rPr>
            </w:pPr>
            <w:r>
              <w:rPr>
                <w:rFonts w:hint="eastAsia" w:ascii="宋体" w:hAnsi="宋体" w:cs="宋体"/>
                <w:bCs/>
                <w:sz w:val="18"/>
                <w:szCs w:val="18"/>
                <w:lang w:bidi="ar"/>
              </w:rPr>
              <w:t>792.000</w:t>
            </w:r>
          </w:p>
        </w:tc>
        <w:tc>
          <w:tcPr>
            <w:tcW w:w="2972" w:type="dxa"/>
            <w:tcBorders>
              <w:top w:val="single" w:color="auto" w:sz="8" w:space="0"/>
              <w:left w:val="single" w:color="auto" w:sz="4" w:space="0"/>
              <w:bottom w:val="single" w:color="auto" w:sz="4" w:space="0"/>
              <w:right w:val="single" w:color="auto" w:sz="4" w:space="0"/>
            </w:tcBorders>
            <w:vAlign w:val="center"/>
          </w:tcPr>
          <w:p>
            <w:pPr>
              <w:widowControl/>
              <w:numPr>
                <w:ilvl w:val="255"/>
                <w:numId w:val="0"/>
              </w:numPr>
              <w:adjustRightInd/>
              <w:snapToGrid w:val="0"/>
              <w:spacing w:line="240" w:lineRule="auto"/>
              <w:jc w:val="center"/>
              <w:rPr>
                <w:rFonts w:ascii="宋体" w:hAnsi="宋体" w:cs="宋体"/>
                <w:bCs/>
                <w:sz w:val="18"/>
                <w:szCs w:val="18"/>
                <w:lang w:bidi="ar"/>
              </w:rPr>
            </w:pPr>
            <w:r>
              <w:rPr>
                <w:rFonts w:hint="eastAsia" w:ascii="宋体" w:hAnsi="宋体" w:cs="宋体"/>
                <w:bCs/>
                <w:sz w:val="18"/>
                <w:szCs w:val="18"/>
                <w:lang w:bidi="ar"/>
              </w:rPr>
              <w:t>水泥P·II 52.5</w:t>
            </w:r>
          </w:p>
        </w:tc>
        <w:tc>
          <w:tcPr>
            <w:tcW w:w="1561" w:type="dxa"/>
            <w:tcBorders>
              <w:top w:val="single" w:color="auto" w:sz="8" w:space="0"/>
              <w:left w:val="single" w:color="auto" w:sz="4" w:space="0"/>
              <w:bottom w:val="single" w:color="auto" w:sz="4" w:space="0"/>
              <w:right w:val="single" w:color="auto" w:sz="8" w:space="0"/>
            </w:tcBorders>
            <w:vAlign w:val="center"/>
          </w:tcPr>
          <w:p>
            <w:pPr>
              <w:widowControl/>
              <w:numPr>
                <w:ilvl w:val="255"/>
                <w:numId w:val="0"/>
              </w:numPr>
              <w:adjustRightInd/>
              <w:snapToGrid w:val="0"/>
              <w:spacing w:line="240" w:lineRule="auto"/>
              <w:ind w:right="315" w:rightChars="150"/>
              <w:jc w:val="center"/>
              <w:rPr>
                <w:rFonts w:ascii="宋体" w:hAnsi="宋体" w:cs="宋体"/>
                <w:bCs/>
                <w:sz w:val="18"/>
                <w:szCs w:val="18"/>
                <w:lang w:bidi="ar"/>
              </w:rPr>
            </w:pPr>
            <w:r>
              <w:rPr>
                <w:rFonts w:hint="eastAsia" w:ascii="宋体" w:hAnsi="宋体" w:cs="宋体"/>
                <w:bCs/>
                <w:sz w:val="18"/>
                <w:szCs w:val="18"/>
                <w:lang w:bidi="ar"/>
              </w:rPr>
              <w:t>894.000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23" w:type="dxa"/>
            <w:tcBorders>
              <w:top w:val="single" w:color="auto" w:sz="4" w:space="0"/>
              <w:left w:val="single" w:color="auto" w:sz="8" w:space="0"/>
              <w:bottom w:val="single" w:color="auto" w:sz="4" w:space="0"/>
              <w:right w:val="single" w:color="auto" w:sz="4" w:space="0"/>
            </w:tcBorders>
            <w:shd w:val="clear" w:color="000000" w:fill="FFFFFF"/>
            <w:vAlign w:val="center"/>
          </w:tcPr>
          <w:p>
            <w:pPr>
              <w:widowControl/>
              <w:numPr>
                <w:ilvl w:val="255"/>
                <w:numId w:val="0"/>
              </w:numPr>
              <w:adjustRightInd/>
              <w:snapToGrid w:val="0"/>
              <w:spacing w:line="240" w:lineRule="auto"/>
              <w:jc w:val="center"/>
              <w:rPr>
                <w:rFonts w:ascii="宋体" w:hAnsi="宋体" w:cs="宋体"/>
                <w:bCs/>
                <w:sz w:val="18"/>
                <w:szCs w:val="18"/>
                <w:lang w:bidi="ar"/>
              </w:rPr>
            </w:pPr>
            <w:r>
              <w:rPr>
                <w:rFonts w:hint="eastAsia" w:ascii="宋体" w:hAnsi="宋体" w:cs="宋体"/>
                <w:bCs/>
                <w:sz w:val="18"/>
                <w:szCs w:val="18"/>
                <w:lang w:bidi="ar"/>
              </w:rPr>
              <w:t>碎石（d=10mm~30mm）</w:t>
            </w:r>
          </w:p>
        </w:tc>
        <w:tc>
          <w:tcPr>
            <w:tcW w:w="1422" w:type="dxa"/>
            <w:tcBorders>
              <w:top w:val="single" w:color="auto" w:sz="4" w:space="0"/>
              <w:left w:val="single" w:color="auto" w:sz="4" w:space="0"/>
              <w:bottom w:val="single" w:color="auto" w:sz="4" w:space="0"/>
              <w:right w:val="single" w:color="auto" w:sz="4" w:space="0"/>
            </w:tcBorders>
            <w:vAlign w:val="center"/>
          </w:tcPr>
          <w:p>
            <w:pPr>
              <w:widowControl/>
              <w:numPr>
                <w:ilvl w:val="255"/>
                <w:numId w:val="0"/>
              </w:numPr>
              <w:adjustRightInd/>
              <w:snapToGrid w:val="0"/>
              <w:spacing w:line="240" w:lineRule="auto"/>
              <w:ind w:right="315" w:rightChars="150"/>
              <w:jc w:val="center"/>
              <w:rPr>
                <w:rFonts w:ascii="宋体" w:hAnsi="宋体" w:cs="宋体"/>
                <w:bCs/>
                <w:sz w:val="18"/>
                <w:szCs w:val="18"/>
                <w:lang w:bidi="ar"/>
              </w:rPr>
            </w:pPr>
            <w:r>
              <w:rPr>
                <w:rFonts w:hint="eastAsia" w:ascii="宋体" w:hAnsi="宋体" w:cs="宋体"/>
                <w:bCs/>
                <w:sz w:val="18"/>
                <w:szCs w:val="18"/>
                <w:lang w:bidi="ar"/>
              </w:rPr>
              <w:t>2.180</w:t>
            </w:r>
          </w:p>
        </w:tc>
        <w:tc>
          <w:tcPr>
            <w:tcW w:w="2972" w:type="dxa"/>
            <w:tcBorders>
              <w:top w:val="single" w:color="auto" w:sz="4" w:space="0"/>
              <w:left w:val="single" w:color="auto" w:sz="4" w:space="0"/>
              <w:bottom w:val="single" w:color="auto" w:sz="4" w:space="0"/>
              <w:right w:val="single" w:color="auto" w:sz="4" w:space="0"/>
            </w:tcBorders>
            <w:vAlign w:val="center"/>
          </w:tcPr>
          <w:p>
            <w:pPr>
              <w:widowControl/>
              <w:numPr>
                <w:ilvl w:val="255"/>
                <w:numId w:val="0"/>
              </w:numPr>
              <w:adjustRightInd/>
              <w:snapToGrid w:val="0"/>
              <w:spacing w:line="240" w:lineRule="auto"/>
              <w:jc w:val="center"/>
              <w:rPr>
                <w:rFonts w:ascii="宋体" w:hAnsi="宋体" w:cs="宋体"/>
                <w:bCs/>
                <w:sz w:val="18"/>
                <w:szCs w:val="18"/>
                <w:lang w:bidi="ar"/>
              </w:rPr>
            </w:pPr>
            <w:r>
              <w:rPr>
                <w:rFonts w:hint="eastAsia" w:ascii="宋体" w:hAnsi="宋体" w:cs="宋体"/>
                <w:bCs/>
                <w:sz w:val="18"/>
                <w:szCs w:val="18"/>
                <w:lang w:bidi="ar"/>
              </w:rPr>
              <w:t>砂（f=l.6~3.0）</w:t>
            </w:r>
          </w:p>
        </w:tc>
        <w:tc>
          <w:tcPr>
            <w:tcW w:w="1561" w:type="dxa"/>
            <w:tcBorders>
              <w:top w:val="single" w:color="auto" w:sz="4" w:space="0"/>
              <w:left w:val="single" w:color="auto" w:sz="4" w:space="0"/>
              <w:bottom w:val="single" w:color="auto" w:sz="4" w:space="0"/>
              <w:right w:val="single" w:color="auto" w:sz="8" w:space="0"/>
            </w:tcBorders>
            <w:vAlign w:val="center"/>
          </w:tcPr>
          <w:p>
            <w:pPr>
              <w:widowControl/>
              <w:numPr>
                <w:ilvl w:val="255"/>
                <w:numId w:val="0"/>
              </w:numPr>
              <w:adjustRightInd/>
              <w:snapToGrid w:val="0"/>
              <w:spacing w:line="240" w:lineRule="auto"/>
              <w:ind w:right="315" w:rightChars="150"/>
              <w:jc w:val="center"/>
              <w:rPr>
                <w:rFonts w:ascii="宋体" w:hAnsi="宋体" w:cs="宋体"/>
                <w:bCs/>
                <w:sz w:val="18"/>
                <w:szCs w:val="18"/>
                <w:lang w:bidi="ar"/>
              </w:rPr>
            </w:pPr>
            <w:r>
              <w:rPr>
                <w:rFonts w:hint="eastAsia" w:ascii="宋体" w:hAnsi="宋体" w:cs="宋体"/>
                <w:bCs/>
                <w:sz w:val="18"/>
                <w:szCs w:val="18"/>
                <w:lang w:bidi="ar"/>
              </w:rPr>
              <w:t>2.510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23" w:type="dxa"/>
            <w:tcBorders>
              <w:top w:val="single" w:color="auto" w:sz="4" w:space="0"/>
              <w:left w:val="single" w:color="auto" w:sz="8" w:space="0"/>
              <w:bottom w:val="single" w:color="auto" w:sz="4" w:space="0"/>
              <w:right w:val="single" w:color="auto" w:sz="4" w:space="0"/>
            </w:tcBorders>
            <w:shd w:val="clear" w:color="000000" w:fill="FFFFFF"/>
            <w:vAlign w:val="center"/>
          </w:tcPr>
          <w:p>
            <w:pPr>
              <w:widowControl/>
              <w:numPr>
                <w:ilvl w:val="255"/>
                <w:numId w:val="0"/>
              </w:numPr>
              <w:adjustRightInd/>
              <w:snapToGrid w:val="0"/>
              <w:spacing w:line="240" w:lineRule="auto"/>
              <w:jc w:val="center"/>
              <w:rPr>
                <w:rFonts w:ascii="宋体" w:hAnsi="宋体" w:cs="宋体"/>
                <w:bCs/>
                <w:sz w:val="18"/>
                <w:szCs w:val="18"/>
                <w:lang w:bidi="ar"/>
              </w:rPr>
            </w:pPr>
            <w:r>
              <w:rPr>
                <w:rFonts w:hint="eastAsia" w:ascii="宋体" w:hAnsi="宋体" w:cs="宋体"/>
                <w:bCs/>
                <w:sz w:val="18"/>
                <w:szCs w:val="18"/>
                <w:lang w:bidi="ar"/>
              </w:rPr>
              <w:t>水</w:t>
            </w:r>
          </w:p>
        </w:tc>
        <w:tc>
          <w:tcPr>
            <w:tcW w:w="1422" w:type="dxa"/>
            <w:tcBorders>
              <w:top w:val="single" w:color="auto" w:sz="4" w:space="0"/>
              <w:left w:val="single" w:color="auto" w:sz="4" w:space="0"/>
              <w:bottom w:val="single" w:color="auto" w:sz="4" w:space="0"/>
              <w:right w:val="single" w:color="auto" w:sz="4" w:space="0"/>
            </w:tcBorders>
            <w:vAlign w:val="center"/>
          </w:tcPr>
          <w:p>
            <w:pPr>
              <w:widowControl/>
              <w:numPr>
                <w:ilvl w:val="255"/>
                <w:numId w:val="0"/>
              </w:numPr>
              <w:adjustRightInd/>
              <w:snapToGrid w:val="0"/>
              <w:spacing w:line="240" w:lineRule="auto"/>
              <w:ind w:right="315" w:rightChars="150"/>
              <w:jc w:val="center"/>
              <w:rPr>
                <w:rFonts w:ascii="宋体" w:hAnsi="宋体" w:cs="宋体"/>
                <w:bCs/>
                <w:sz w:val="18"/>
                <w:szCs w:val="18"/>
                <w:lang w:bidi="ar"/>
              </w:rPr>
            </w:pPr>
            <w:r>
              <w:rPr>
                <w:rFonts w:hint="eastAsia" w:ascii="宋体" w:hAnsi="宋体" w:cs="宋体"/>
                <w:bCs/>
                <w:sz w:val="18"/>
                <w:szCs w:val="18"/>
                <w:lang w:bidi="ar"/>
              </w:rPr>
              <w:t>0.168</w:t>
            </w:r>
          </w:p>
        </w:tc>
        <w:tc>
          <w:tcPr>
            <w:tcW w:w="2972" w:type="dxa"/>
            <w:tcBorders>
              <w:top w:val="single" w:color="auto" w:sz="4" w:space="0"/>
              <w:left w:val="single" w:color="auto" w:sz="4" w:space="0"/>
              <w:bottom w:val="single" w:color="auto" w:sz="4" w:space="0"/>
              <w:right w:val="single" w:color="auto" w:sz="4" w:space="0"/>
            </w:tcBorders>
            <w:vAlign w:val="center"/>
          </w:tcPr>
          <w:p>
            <w:pPr>
              <w:widowControl/>
              <w:numPr>
                <w:ilvl w:val="255"/>
                <w:numId w:val="0"/>
              </w:numPr>
              <w:adjustRightInd/>
              <w:snapToGrid w:val="0"/>
              <w:spacing w:line="240" w:lineRule="auto"/>
              <w:jc w:val="center"/>
              <w:rPr>
                <w:rFonts w:ascii="宋体" w:hAnsi="宋体" w:cs="宋体"/>
                <w:bCs/>
                <w:sz w:val="18"/>
                <w:szCs w:val="18"/>
                <w:lang w:bidi="ar"/>
              </w:rPr>
            </w:pPr>
            <w:r>
              <w:rPr>
                <w:rFonts w:hint="eastAsia" w:ascii="宋体" w:hAnsi="宋体" w:cs="宋体"/>
                <w:bCs/>
                <w:sz w:val="18"/>
                <w:szCs w:val="18"/>
                <w:lang w:bidi="ar"/>
              </w:rPr>
              <w:t>矿粉</w:t>
            </w:r>
          </w:p>
        </w:tc>
        <w:tc>
          <w:tcPr>
            <w:tcW w:w="1561" w:type="dxa"/>
            <w:tcBorders>
              <w:top w:val="single" w:color="auto" w:sz="4" w:space="0"/>
              <w:left w:val="single" w:color="auto" w:sz="4" w:space="0"/>
              <w:bottom w:val="single" w:color="auto" w:sz="4" w:space="0"/>
              <w:right w:val="single" w:color="auto" w:sz="8" w:space="0"/>
            </w:tcBorders>
            <w:vAlign w:val="center"/>
          </w:tcPr>
          <w:p>
            <w:pPr>
              <w:widowControl/>
              <w:numPr>
                <w:ilvl w:val="255"/>
                <w:numId w:val="0"/>
              </w:numPr>
              <w:tabs>
                <w:tab w:val="left" w:pos="0"/>
              </w:tabs>
              <w:adjustRightInd/>
              <w:snapToGrid w:val="0"/>
              <w:spacing w:line="240" w:lineRule="auto"/>
              <w:ind w:right="315" w:rightChars="150"/>
              <w:jc w:val="center"/>
              <w:rPr>
                <w:rFonts w:ascii="宋体" w:hAnsi="宋体" w:cs="宋体"/>
                <w:bCs/>
                <w:sz w:val="18"/>
                <w:szCs w:val="18"/>
                <w:lang w:bidi="ar"/>
              </w:rPr>
            </w:pPr>
            <w:r>
              <w:rPr>
                <w:rFonts w:hint="eastAsia" w:ascii="宋体" w:hAnsi="宋体" w:cs="宋体"/>
                <w:bCs/>
                <w:sz w:val="18"/>
                <w:szCs w:val="18"/>
                <w:lang w:bidi="ar"/>
              </w:rPr>
              <w:t>133.340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23" w:type="dxa"/>
            <w:tcBorders>
              <w:top w:val="single" w:color="auto" w:sz="4" w:space="0"/>
              <w:left w:val="single" w:color="auto" w:sz="8" w:space="0"/>
              <w:bottom w:val="single" w:color="auto" w:sz="4" w:space="0"/>
              <w:right w:val="single" w:color="auto" w:sz="4" w:space="0"/>
            </w:tcBorders>
            <w:vAlign w:val="center"/>
          </w:tcPr>
          <w:p>
            <w:pPr>
              <w:widowControl/>
              <w:numPr>
                <w:ilvl w:val="255"/>
                <w:numId w:val="0"/>
              </w:numPr>
              <w:adjustRightInd/>
              <w:snapToGrid w:val="0"/>
              <w:spacing w:line="240" w:lineRule="auto"/>
              <w:jc w:val="center"/>
              <w:rPr>
                <w:rFonts w:ascii="宋体" w:hAnsi="宋体" w:cs="宋体"/>
                <w:bCs/>
                <w:sz w:val="18"/>
                <w:szCs w:val="18"/>
                <w:lang w:bidi="ar"/>
              </w:rPr>
            </w:pPr>
            <w:r>
              <w:rPr>
                <w:rFonts w:hint="eastAsia" w:ascii="宋体" w:hAnsi="宋体" w:cs="宋体"/>
                <w:bCs/>
                <w:sz w:val="18"/>
                <w:szCs w:val="18"/>
                <w:lang w:bidi="ar"/>
              </w:rPr>
              <w:t>机制砂</w:t>
            </w:r>
          </w:p>
        </w:tc>
        <w:tc>
          <w:tcPr>
            <w:tcW w:w="1422" w:type="dxa"/>
            <w:tcBorders>
              <w:top w:val="single" w:color="auto" w:sz="4" w:space="0"/>
              <w:left w:val="single" w:color="auto" w:sz="4" w:space="0"/>
              <w:bottom w:val="single" w:color="auto" w:sz="4" w:space="0"/>
              <w:right w:val="single" w:color="auto" w:sz="4" w:space="0"/>
            </w:tcBorders>
            <w:vAlign w:val="center"/>
          </w:tcPr>
          <w:p>
            <w:pPr>
              <w:widowControl/>
              <w:numPr>
                <w:ilvl w:val="255"/>
                <w:numId w:val="0"/>
              </w:numPr>
              <w:adjustRightInd/>
              <w:snapToGrid w:val="0"/>
              <w:spacing w:line="240" w:lineRule="auto"/>
              <w:ind w:right="315" w:rightChars="150"/>
              <w:jc w:val="center"/>
              <w:rPr>
                <w:rFonts w:ascii="宋体" w:hAnsi="宋体" w:cs="宋体"/>
                <w:bCs/>
                <w:sz w:val="18"/>
                <w:szCs w:val="18"/>
                <w:lang w:bidi="ar"/>
              </w:rPr>
            </w:pPr>
            <w:r>
              <w:rPr>
                <w:rFonts w:hint="eastAsia" w:ascii="宋体" w:hAnsi="宋体" w:cs="宋体"/>
                <w:bCs/>
                <w:sz w:val="18"/>
                <w:szCs w:val="18"/>
                <w:lang w:bidi="ar"/>
              </w:rPr>
              <w:t>7.650</w:t>
            </w:r>
          </w:p>
        </w:tc>
        <w:tc>
          <w:tcPr>
            <w:tcW w:w="2972" w:type="dxa"/>
            <w:tcBorders>
              <w:top w:val="single" w:color="auto" w:sz="4" w:space="0"/>
              <w:left w:val="single" w:color="auto" w:sz="4" w:space="0"/>
              <w:bottom w:val="single" w:color="auto" w:sz="4" w:space="0"/>
              <w:right w:val="single" w:color="auto" w:sz="4" w:space="0"/>
            </w:tcBorders>
            <w:vAlign w:val="center"/>
          </w:tcPr>
          <w:p>
            <w:pPr>
              <w:widowControl/>
              <w:numPr>
                <w:ilvl w:val="255"/>
                <w:numId w:val="0"/>
              </w:numPr>
              <w:adjustRightInd/>
              <w:snapToGrid w:val="0"/>
              <w:spacing w:line="240" w:lineRule="auto"/>
              <w:jc w:val="center"/>
              <w:rPr>
                <w:rFonts w:ascii="宋体" w:hAnsi="宋体" w:cs="宋体"/>
                <w:bCs/>
                <w:sz w:val="18"/>
                <w:szCs w:val="18"/>
                <w:lang w:bidi="ar"/>
              </w:rPr>
            </w:pPr>
            <w:r>
              <w:rPr>
                <w:rFonts w:hint="eastAsia" w:ascii="宋体" w:hAnsi="宋体" w:cs="宋体"/>
                <w:bCs/>
                <w:sz w:val="18"/>
                <w:szCs w:val="18"/>
                <w:lang w:bidi="ar"/>
              </w:rPr>
              <w:t>混凝土用再生骨料</w:t>
            </w:r>
          </w:p>
        </w:tc>
        <w:tc>
          <w:tcPr>
            <w:tcW w:w="1561" w:type="dxa"/>
            <w:tcBorders>
              <w:top w:val="single" w:color="auto" w:sz="4" w:space="0"/>
              <w:left w:val="single" w:color="auto" w:sz="4" w:space="0"/>
              <w:bottom w:val="single" w:color="auto" w:sz="4" w:space="0"/>
              <w:right w:val="single" w:color="auto" w:sz="8" w:space="0"/>
            </w:tcBorders>
            <w:vAlign w:val="center"/>
          </w:tcPr>
          <w:p>
            <w:pPr>
              <w:widowControl/>
              <w:numPr>
                <w:ilvl w:val="255"/>
                <w:numId w:val="0"/>
              </w:numPr>
              <w:adjustRightInd/>
              <w:snapToGrid w:val="0"/>
              <w:spacing w:line="240" w:lineRule="auto"/>
              <w:ind w:right="315" w:rightChars="150"/>
              <w:jc w:val="center"/>
              <w:rPr>
                <w:rFonts w:ascii="宋体" w:hAnsi="宋体" w:cs="宋体"/>
                <w:bCs/>
                <w:sz w:val="18"/>
                <w:szCs w:val="18"/>
                <w:lang w:bidi="ar"/>
              </w:rPr>
            </w:pPr>
            <w:r>
              <w:rPr>
                <w:rFonts w:hint="eastAsia" w:ascii="宋体" w:hAnsi="宋体" w:cs="宋体"/>
                <w:bCs/>
                <w:sz w:val="18"/>
                <w:szCs w:val="18"/>
                <w:lang w:bidi="ar"/>
              </w:rPr>
              <w:t>13.000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123" w:type="dxa"/>
            <w:tcBorders>
              <w:top w:val="single" w:color="auto" w:sz="4" w:space="0"/>
              <w:left w:val="single" w:color="auto" w:sz="8" w:space="0"/>
              <w:bottom w:val="single" w:color="auto" w:sz="4" w:space="0"/>
              <w:right w:val="single" w:color="auto" w:sz="4" w:space="0"/>
            </w:tcBorders>
            <w:vAlign w:val="center"/>
          </w:tcPr>
          <w:p>
            <w:pPr>
              <w:widowControl/>
              <w:numPr>
                <w:ilvl w:val="255"/>
                <w:numId w:val="0"/>
              </w:numPr>
              <w:adjustRightInd/>
              <w:snapToGrid w:val="0"/>
              <w:spacing w:line="240" w:lineRule="auto"/>
              <w:jc w:val="center"/>
              <w:rPr>
                <w:rFonts w:ascii="宋体" w:hAnsi="宋体" w:cs="宋体"/>
                <w:bCs/>
                <w:sz w:val="18"/>
                <w:szCs w:val="18"/>
                <w:lang w:bidi="ar"/>
              </w:rPr>
            </w:pPr>
            <w:r>
              <w:rPr>
                <w:rFonts w:hint="eastAsia" w:ascii="宋体" w:hAnsi="宋体" w:cs="宋体"/>
                <w:bCs/>
                <w:sz w:val="18"/>
                <w:szCs w:val="18"/>
                <w:lang w:bidi="ar"/>
              </w:rPr>
              <w:t>掺合料</w:t>
            </w:r>
          </w:p>
        </w:tc>
        <w:tc>
          <w:tcPr>
            <w:tcW w:w="1422" w:type="dxa"/>
            <w:tcBorders>
              <w:top w:val="single" w:color="auto" w:sz="4" w:space="0"/>
              <w:left w:val="single" w:color="auto" w:sz="4" w:space="0"/>
              <w:bottom w:val="single" w:color="auto" w:sz="4" w:space="0"/>
              <w:right w:val="single" w:color="auto" w:sz="4" w:space="0"/>
            </w:tcBorders>
            <w:vAlign w:val="center"/>
          </w:tcPr>
          <w:p>
            <w:pPr>
              <w:widowControl/>
              <w:numPr>
                <w:ilvl w:val="255"/>
                <w:numId w:val="0"/>
              </w:numPr>
              <w:adjustRightInd/>
              <w:snapToGrid w:val="0"/>
              <w:spacing w:line="240" w:lineRule="auto"/>
              <w:ind w:right="315" w:rightChars="150"/>
              <w:jc w:val="center"/>
              <w:rPr>
                <w:rFonts w:ascii="宋体" w:hAnsi="宋体" w:cs="宋体"/>
                <w:bCs/>
                <w:sz w:val="18"/>
                <w:szCs w:val="18"/>
                <w:lang w:bidi="ar"/>
              </w:rPr>
            </w:pPr>
            <w:r>
              <w:rPr>
                <w:rFonts w:hint="eastAsia" w:ascii="宋体" w:hAnsi="宋体" w:cs="宋体"/>
                <w:bCs/>
                <w:sz w:val="18"/>
                <w:szCs w:val="18"/>
                <w:lang w:bidi="ar"/>
              </w:rPr>
              <w:t>109.000</w:t>
            </w:r>
          </w:p>
        </w:tc>
        <w:tc>
          <w:tcPr>
            <w:tcW w:w="2972" w:type="dxa"/>
            <w:tcBorders>
              <w:top w:val="single" w:color="auto" w:sz="4" w:space="0"/>
              <w:left w:val="single" w:color="auto" w:sz="4" w:space="0"/>
              <w:bottom w:val="single" w:color="auto" w:sz="4" w:space="0"/>
              <w:right w:val="single" w:color="auto" w:sz="4" w:space="0"/>
            </w:tcBorders>
            <w:vAlign w:val="center"/>
          </w:tcPr>
          <w:p>
            <w:pPr>
              <w:widowControl/>
              <w:numPr>
                <w:ilvl w:val="255"/>
                <w:numId w:val="0"/>
              </w:numPr>
              <w:adjustRightInd/>
              <w:snapToGrid w:val="0"/>
              <w:spacing w:line="240" w:lineRule="auto"/>
              <w:jc w:val="center"/>
              <w:rPr>
                <w:rFonts w:ascii="宋体" w:hAnsi="宋体" w:cs="宋体"/>
                <w:bCs/>
                <w:sz w:val="18"/>
                <w:szCs w:val="18"/>
                <w:lang w:bidi="ar"/>
              </w:rPr>
            </w:pPr>
            <w:r>
              <w:rPr>
                <w:rFonts w:hint="eastAsia" w:ascii="宋体" w:hAnsi="宋体" w:cs="宋体"/>
                <w:bCs/>
                <w:sz w:val="18"/>
                <w:szCs w:val="18"/>
                <w:lang w:bidi="ar"/>
              </w:rPr>
              <w:t>粉煤灰</w:t>
            </w:r>
          </w:p>
        </w:tc>
        <w:tc>
          <w:tcPr>
            <w:tcW w:w="1561" w:type="dxa"/>
            <w:tcBorders>
              <w:top w:val="single" w:color="auto" w:sz="4" w:space="0"/>
              <w:left w:val="single" w:color="auto" w:sz="4" w:space="0"/>
              <w:bottom w:val="single" w:color="auto" w:sz="4" w:space="0"/>
              <w:right w:val="single" w:color="auto" w:sz="8" w:space="0"/>
            </w:tcBorders>
            <w:vAlign w:val="center"/>
          </w:tcPr>
          <w:p>
            <w:pPr>
              <w:widowControl/>
              <w:numPr>
                <w:ilvl w:val="255"/>
                <w:numId w:val="0"/>
              </w:numPr>
              <w:adjustRightInd/>
              <w:snapToGrid w:val="0"/>
              <w:spacing w:line="240" w:lineRule="auto"/>
              <w:ind w:right="315" w:rightChars="150"/>
              <w:jc w:val="center"/>
              <w:rPr>
                <w:rFonts w:ascii="宋体" w:hAnsi="宋体" w:cs="宋体"/>
                <w:bCs/>
                <w:sz w:val="18"/>
                <w:szCs w:val="18"/>
                <w:lang w:bidi="ar"/>
              </w:rPr>
            </w:pPr>
            <w:r>
              <w:rPr>
                <w:rFonts w:hint="eastAsia" w:ascii="宋体" w:hAnsi="宋体" w:cs="宋体"/>
                <w:bCs/>
                <w:sz w:val="18"/>
                <w:szCs w:val="18"/>
                <w:lang w:bidi="ar"/>
              </w:rPr>
              <w:t>8.000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17" w:type="dxa"/>
            <w:gridSpan w:val="3"/>
            <w:tcBorders>
              <w:top w:val="single" w:color="auto" w:sz="4" w:space="0"/>
              <w:left w:val="single" w:color="auto" w:sz="8" w:space="0"/>
              <w:bottom w:val="single" w:color="auto" w:sz="8" w:space="0"/>
              <w:right w:val="single" w:color="auto" w:sz="4" w:space="0"/>
            </w:tcBorders>
            <w:vAlign w:val="center"/>
          </w:tcPr>
          <w:p>
            <w:pPr>
              <w:widowControl/>
              <w:numPr>
                <w:ilvl w:val="255"/>
                <w:numId w:val="0"/>
              </w:numPr>
              <w:adjustRightInd/>
              <w:snapToGrid w:val="0"/>
              <w:spacing w:line="240" w:lineRule="auto"/>
              <w:jc w:val="center"/>
              <w:rPr>
                <w:rFonts w:ascii="宋体" w:hAnsi="宋体" w:cs="宋体"/>
                <w:bCs/>
                <w:sz w:val="18"/>
                <w:szCs w:val="18"/>
                <w:lang w:bidi="ar"/>
              </w:rPr>
            </w:pPr>
            <w:r>
              <w:rPr>
                <w:rFonts w:hint="eastAsia" w:ascii="宋体" w:hAnsi="宋体" w:cs="宋体"/>
                <w:bCs/>
                <w:sz w:val="18"/>
                <w:szCs w:val="18"/>
                <w:lang w:bidi="ar"/>
              </w:rPr>
              <w:t>其他（石灰石粉、钢渣粉、磷渣粉）</w:t>
            </w:r>
          </w:p>
        </w:tc>
        <w:tc>
          <w:tcPr>
            <w:tcW w:w="1561" w:type="dxa"/>
            <w:tcBorders>
              <w:top w:val="single" w:color="auto" w:sz="4" w:space="0"/>
              <w:left w:val="single" w:color="auto" w:sz="4" w:space="0"/>
              <w:bottom w:val="single" w:color="auto" w:sz="8" w:space="0"/>
              <w:right w:val="single" w:color="auto" w:sz="8" w:space="0"/>
            </w:tcBorders>
            <w:vAlign w:val="center"/>
          </w:tcPr>
          <w:p>
            <w:pPr>
              <w:widowControl/>
              <w:numPr>
                <w:ilvl w:val="255"/>
                <w:numId w:val="0"/>
              </w:numPr>
              <w:adjustRightInd/>
              <w:snapToGrid w:val="0"/>
              <w:spacing w:line="240" w:lineRule="auto"/>
              <w:ind w:right="315" w:rightChars="150"/>
              <w:jc w:val="center"/>
              <w:rPr>
                <w:rFonts w:ascii="宋体" w:hAnsi="宋体" w:cs="宋体"/>
                <w:bCs/>
                <w:sz w:val="18"/>
                <w:szCs w:val="18"/>
                <w:lang w:bidi="ar"/>
              </w:rPr>
            </w:pPr>
            <w:r>
              <w:rPr>
                <w:rFonts w:hint="eastAsia" w:ascii="宋体" w:hAnsi="宋体" w:cs="宋体"/>
                <w:bCs/>
                <w:sz w:val="18"/>
                <w:szCs w:val="18"/>
                <w:lang w:bidi="ar"/>
              </w:rPr>
              <w:t>44.000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78" w:type="dxa"/>
            <w:gridSpan w:val="4"/>
            <w:tcBorders>
              <w:top w:val="single" w:color="auto" w:sz="8" w:space="0"/>
              <w:left w:val="single" w:color="auto" w:sz="8" w:space="0"/>
              <w:right w:val="single" w:color="auto" w:sz="8" w:space="0"/>
            </w:tcBorders>
            <w:vAlign w:val="center"/>
          </w:tcPr>
          <w:p>
            <w:pPr>
              <w:pStyle w:val="162"/>
              <w:snapToGrid w:val="0"/>
              <w:spacing w:line="240" w:lineRule="auto"/>
              <w:ind w:left="0" w:leftChars="0" w:firstLine="0" w:firstLineChars="0"/>
              <w:jc w:val="center"/>
              <w:rPr>
                <w:rFonts w:hAnsi="宋体" w:cs="宋体"/>
                <w:bCs/>
                <w:szCs w:val="18"/>
                <w:lang w:bidi="ar"/>
              </w:rPr>
            </w:pPr>
            <w:r>
              <w:rPr>
                <w:rFonts w:hint="eastAsia"/>
              </w:rPr>
              <w:t>注：数据来源于《建筑碳排放计算标准》（GB/T 51366-2019）</w:t>
            </w:r>
          </w:p>
        </w:tc>
      </w:tr>
    </w:tbl>
    <w:p>
      <w:pPr>
        <w:pStyle w:val="213"/>
        <w:keepNext w:val="0"/>
        <w:keepLines w:val="0"/>
        <w:pageBreakBefore w:val="0"/>
        <w:kinsoku/>
        <w:wordWrap/>
        <w:overflowPunct/>
        <w:topLinePunct w:val="0"/>
        <w:bidi w:val="0"/>
        <w:adjustRightInd/>
        <w:spacing w:line="240" w:lineRule="auto"/>
        <w:textAlignment w:val="auto"/>
      </w:pPr>
      <w:r>
        <w:rPr>
          <w:rFonts w:hint="eastAsia"/>
        </w:rPr>
        <w:t>预拌混凝土因原材料运输而产生的碳排放量应按下式计算：</w:t>
      </w:r>
    </w:p>
    <w:p>
      <w:pPr>
        <w:keepNext w:val="0"/>
        <w:keepLines w:val="0"/>
        <w:pageBreakBefore w:val="0"/>
        <w:widowControl/>
        <w:numPr>
          <w:ilvl w:val="255"/>
          <w:numId w:val="0"/>
        </w:numPr>
        <w:tabs>
          <w:tab w:val="center" w:pos="4150"/>
          <w:tab w:val="right" w:pos="8301"/>
        </w:tabs>
        <w:kinsoku/>
        <w:wordWrap/>
        <w:overflowPunct/>
        <w:topLinePunct w:val="0"/>
        <w:bidi w:val="0"/>
        <w:adjustRightInd/>
        <w:spacing w:line="240" w:lineRule="auto"/>
        <w:ind w:left="851" w:hanging="426"/>
        <w:jc w:val="right"/>
        <w:textAlignment w:val="auto"/>
        <w:rPr>
          <w:rFonts w:ascii="宋体" w:hAnsi="宋体" w:cs="宋体"/>
          <w:bCs/>
          <w:kern w:val="0"/>
        </w:rPr>
      </w:pPr>
      <w:r>
        <w:rPr>
          <w:rFonts w:hint="eastAsia" w:ascii="宋体" w:hAnsi="宋体" w:cs="宋体"/>
          <w:bCs/>
          <w:kern w:val="0"/>
        </w:rPr>
        <w:tab/>
      </w:r>
      <m:oMath>
        <m:sSub>
          <m:sSubPr>
            <m:ctrlPr>
              <w:rPr>
                <w:rFonts w:hint="eastAsia" w:ascii="Cambria Math" w:hAnsi="Cambria Math" w:cs="宋体"/>
                <w:bCs/>
                <w:kern w:val="0"/>
              </w:rPr>
            </m:ctrlPr>
          </m:sSubPr>
          <m:e>
            <m:r>
              <m:rPr/>
              <w:rPr>
                <w:rFonts w:hint="eastAsia" w:ascii="Cambria Math" w:hAnsi="Cambria Math" w:cs="宋体"/>
                <w:kern w:val="0"/>
              </w:rPr>
              <m:t>C</m:t>
            </m:r>
            <m:ctrlPr>
              <w:rPr>
                <w:rFonts w:hint="eastAsia" w:ascii="Cambria Math" w:hAnsi="Cambria Math" w:cs="宋体"/>
                <w:bCs/>
                <w:kern w:val="0"/>
              </w:rPr>
            </m:ctrlPr>
          </m:e>
          <m:sub>
            <m:r>
              <m:rPr>
                <m:sty m:val="p"/>
              </m:rPr>
              <w:rPr>
                <w:rFonts w:hint="eastAsia" w:ascii="Cambria Math" w:hAnsi="Cambria Math" w:cs="宋体"/>
                <w:kern w:val="0"/>
              </w:rPr>
              <m:t>2</m:t>
            </m:r>
            <m:ctrlPr>
              <w:rPr>
                <w:rFonts w:hint="eastAsia" w:ascii="Cambria Math" w:hAnsi="Cambria Math" w:cs="宋体"/>
                <w:bCs/>
                <w:kern w:val="0"/>
              </w:rPr>
            </m:ctrlPr>
          </m:sub>
        </m:sSub>
        <m:r>
          <m:rPr>
            <m:sty m:val="p"/>
          </m:rPr>
          <w:rPr>
            <w:rFonts w:hint="eastAsia" w:ascii="Cambria Math" w:hAnsi="Cambria Math" w:cs="宋体"/>
            <w:kern w:val="0"/>
          </w:rPr>
          <m:t>=</m:t>
        </m:r>
        <m:nary>
          <m:naryPr>
            <m:chr m:val="∑"/>
            <m:limLoc m:val="subSup"/>
            <m:ctrlPr>
              <w:rPr>
                <w:rFonts w:hint="eastAsia" w:ascii="Cambria Math" w:hAnsi="Cambria Math" w:cs="宋体"/>
                <w:bCs/>
                <w:kern w:val="0"/>
              </w:rPr>
            </m:ctrlPr>
          </m:naryPr>
          <m:sub>
            <m:r>
              <m:rPr/>
              <w:rPr>
                <w:rFonts w:hint="eastAsia" w:ascii="Cambria Math" w:hAnsi="Cambria Math" w:cs="宋体"/>
                <w:kern w:val="0"/>
              </w:rPr>
              <m:t>i</m:t>
            </m:r>
            <m:r>
              <m:rPr>
                <m:sty m:val="p"/>
              </m:rPr>
              <w:rPr>
                <w:rFonts w:hint="eastAsia" w:ascii="Cambria Math" w:hAnsi="Cambria Math" w:cs="宋体"/>
                <w:kern w:val="0"/>
              </w:rPr>
              <m:t>=1</m:t>
            </m:r>
            <m:ctrlPr>
              <w:rPr>
                <w:rFonts w:hint="eastAsia" w:ascii="Cambria Math" w:hAnsi="Cambria Math" w:cs="宋体"/>
                <w:bCs/>
                <w:kern w:val="0"/>
              </w:rPr>
            </m:ctrlPr>
          </m:sub>
          <m:sup>
            <m:r>
              <m:rPr/>
              <w:rPr>
                <w:rFonts w:hint="eastAsia" w:ascii="Cambria Math" w:hAnsi="Cambria Math" w:cs="宋体"/>
                <w:kern w:val="0"/>
              </w:rPr>
              <m:t>n</m:t>
            </m:r>
            <m:ctrlPr>
              <w:rPr>
                <w:rFonts w:hint="eastAsia" w:ascii="Cambria Math" w:hAnsi="Cambria Math" w:cs="宋体"/>
                <w:bCs/>
                <w:kern w:val="0"/>
              </w:rPr>
            </m:ctrlPr>
          </m:sup>
          <m:e>
            <m:r>
              <m:rPr>
                <m:sty m:val="p"/>
              </m:rPr>
              <w:rPr>
                <w:rFonts w:hint="eastAsia" w:ascii="Cambria Math" w:hAnsi="Cambria Math" w:cs="宋体"/>
                <w:kern w:val="0"/>
              </w:rPr>
              <m:t>（</m:t>
            </m:r>
            <m:sSub>
              <m:sSubPr>
                <m:ctrlPr>
                  <w:rPr>
                    <w:rFonts w:hint="eastAsia" w:ascii="Cambria Math" w:hAnsi="Cambria Math" w:cs="宋体"/>
                    <w:bCs/>
                    <w:kern w:val="0"/>
                  </w:rPr>
                </m:ctrlPr>
              </m:sSubPr>
              <m:e>
                <m:r>
                  <m:rPr/>
                  <w:rPr>
                    <w:rFonts w:hint="eastAsia" w:ascii="Cambria Math" w:hAnsi="Cambria Math" w:cs="宋体"/>
                    <w:kern w:val="0"/>
                  </w:rPr>
                  <m:t>M</m:t>
                </m:r>
                <m:ctrlPr>
                  <w:rPr>
                    <w:rFonts w:hint="eastAsia" w:ascii="Cambria Math" w:hAnsi="Cambria Math" w:cs="宋体"/>
                    <w:bCs/>
                    <w:kern w:val="0"/>
                  </w:rPr>
                </m:ctrlPr>
              </m:e>
              <m:sub>
                <m:r>
                  <m:rPr/>
                  <w:rPr>
                    <w:rFonts w:hint="eastAsia" w:ascii="Cambria Math" w:hAnsi="Cambria Math" w:cs="宋体"/>
                    <w:kern w:val="0"/>
                  </w:rPr>
                  <m:t>i</m:t>
                </m:r>
                <m:ctrlPr>
                  <w:rPr>
                    <w:rFonts w:hint="eastAsia" w:ascii="Cambria Math" w:hAnsi="Cambria Math" w:cs="宋体"/>
                    <w:bCs/>
                    <w:kern w:val="0"/>
                  </w:rPr>
                </m:ctrlPr>
              </m:sub>
            </m:sSub>
            <m:ctrlPr>
              <w:rPr>
                <w:rFonts w:hint="eastAsia" w:ascii="Cambria Math" w:hAnsi="Cambria Math" w:cs="宋体"/>
                <w:bCs/>
                <w:kern w:val="0"/>
              </w:rPr>
            </m:ctrlPr>
          </m:e>
        </m:nary>
        <m:r>
          <m:rPr>
            <m:sty m:val="p"/>
          </m:rPr>
          <w:rPr>
            <w:rFonts w:hint="eastAsia" w:ascii="Cambria Math" w:hAnsi="Cambria Math" w:cs="宋体"/>
            <w:kern w:val="0"/>
          </w:rPr>
          <m:t>×</m:t>
        </m:r>
        <m:sSub>
          <m:sSubPr>
            <m:ctrlPr>
              <w:rPr>
                <w:rFonts w:hint="eastAsia" w:ascii="Cambria Math" w:hAnsi="Cambria Math" w:cs="宋体"/>
                <w:bCs/>
                <w:kern w:val="0"/>
              </w:rPr>
            </m:ctrlPr>
          </m:sSubPr>
          <m:e>
            <m:r>
              <m:rPr/>
              <w:rPr>
                <w:rFonts w:hint="eastAsia" w:ascii="Cambria Math" w:hAnsi="Cambria Math" w:cs="宋体"/>
                <w:kern w:val="0"/>
              </w:rPr>
              <m:t>D</m:t>
            </m:r>
            <m:ctrlPr>
              <w:rPr>
                <w:rFonts w:hint="eastAsia" w:ascii="Cambria Math" w:hAnsi="Cambria Math" w:cs="宋体"/>
                <w:bCs/>
                <w:kern w:val="0"/>
              </w:rPr>
            </m:ctrlPr>
          </m:e>
          <m:sub>
            <m:r>
              <m:rPr/>
              <w:rPr>
                <w:rFonts w:hint="eastAsia" w:ascii="Cambria Math" w:hAnsi="Cambria Math" w:cs="宋体"/>
                <w:kern w:val="0"/>
              </w:rPr>
              <m:t>i</m:t>
            </m:r>
            <m:ctrlPr>
              <w:rPr>
                <w:rFonts w:hint="eastAsia" w:ascii="Cambria Math" w:hAnsi="Cambria Math" w:cs="宋体"/>
                <w:bCs/>
                <w:kern w:val="0"/>
              </w:rPr>
            </m:ctrlPr>
          </m:sub>
        </m:sSub>
        <m:r>
          <m:rPr>
            <m:sty m:val="p"/>
          </m:rPr>
          <w:rPr>
            <w:rFonts w:hint="eastAsia" w:ascii="Cambria Math" w:hAnsi="Cambria Math" w:cs="宋体"/>
            <w:kern w:val="0"/>
          </w:rPr>
          <m:t>×</m:t>
        </m:r>
        <m:sSub>
          <m:sSubPr>
            <m:ctrlPr>
              <w:rPr>
                <w:rFonts w:hint="eastAsia" w:ascii="Cambria Math" w:hAnsi="Cambria Math" w:cs="宋体"/>
                <w:bCs/>
                <w:kern w:val="0"/>
              </w:rPr>
            </m:ctrlPr>
          </m:sSubPr>
          <m:e>
            <m:r>
              <m:rPr/>
              <w:rPr>
                <w:rFonts w:hint="eastAsia" w:ascii="Cambria Math" w:hAnsi="Cambria Math" w:cs="宋体"/>
                <w:kern w:val="0"/>
              </w:rPr>
              <m:t>T</m:t>
            </m:r>
            <m:ctrlPr>
              <w:rPr>
                <w:rFonts w:hint="eastAsia" w:ascii="Cambria Math" w:hAnsi="Cambria Math" w:cs="宋体"/>
                <w:bCs/>
                <w:kern w:val="0"/>
              </w:rPr>
            </m:ctrlPr>
          </m:e>
          <m:sub>
            <m:r>
              <m:rPr/>
              <w:rPr>
                <w:rFonts w:hint="eastAsia" w:ascii="Cambria Math" w:hAnsi="Cambria Math" w:cs="宋体"/>
                <w:kern w:val="0"/>
              </w:rPr>
              <m:t>i</m:t>
            </m:r>
            <m:ctrlPr>
              <w:rPr>
                <w:rFonts w:hint="eastAsia" w:ascii="Cambria Math" w:hAnsi="Cambria Math" w:cs="宋体"/>
                <w:bCs/>
                <w:kern w:val="0"/>
              </w:rPr>
            </m:ctrlPr>
          </m:sub>
        </m:sSub>
        <m:r>
          <m:rPr>
            <m:sty m:val="p"/>
          </m:rPr>
          <w:rPr>
            <w:rFonts w:hint="eastAsia" w:ascii="Cambria Math" w:hAnsi="Cambria Math" w:cs="宋体"/>
            <w:kern w:val="0"/>
          </w:rPr>
          <m:t>）</m:t>
        </m:r>
      </m:oMath>
      <w:r>
        <w:rPr>
          <w:rFonts w:hint="eastAsia" w:ascii="宋体" w:hAnsi="宋体" w:cs="宋体"/>
          <w:kern w:val="0"/>
        </w:rPr>
        <w:t xml:space="preserve"> </w:t>
      </w:r>
      <w:r>
        <w:rPr>
          <w:rFonts w:ascii="宋体" w:hAnsi="宋体" w:cs="宋体"/>
          <w:kern w:val="0"/>
        </w:rPr>
        <w:t xml:space="preserve">                         </w:t>
      </w:r>
      <w:r>
        <w:rPr>
          <w:rFonts w:hint="eastAsia" w:ascii="宋体" w:hAnsi="宋体" w:cs="宋体"/>
          <w:bCs/>
          <w:kern w:val="0"/>
        </w:rPr>
        <w:t>（</w:t>
      </w:r>
      <w:r>
        <w:rPr>
          <w:rFonts w:ascii="宋体" w:hAnsi="宋体" w:cs="宋体"/>
          <w:bCs/>
          <w:kern w:val="0"/>
        </w:rPr>
        <w:t>3</w:t>
      </w:r>
      <w:r>
        <w:rPr>
          <w:rFonts w:hint="eastAsia" w:ascii="宋体" w:hAnsi="宋体" w:cs="宋体"/>
          <w:bCs/>
          <w:kern w:val="0"/>
        </w:rPr>
        <w:t>）</w:t>
      </w:r>
    </w:p>
    <w:p>
      <w:pPr>
        <w:keepNext w:val="0"/>
        <w:keepLines w:val="0"/>
        <w:pageBreakBefore w:val="0"/>
        <w:widowControl/>
        <w:numPr>
          <w:ilvl w:val="255"/>
          <w:numId w:val="0"/>
        </w:numPr>
        <w:kinsoku/>
        <w:wordWrap/>
        <w:overflowPunct/>
        <w:topLinePunct w:val="0"/>
        <w:bidi w:val="0"/>
        <w:adjustRightInd/>
        <w:spacing w:line="240" w:lineRule="auto"/>
        <w:ind w:firstLine="480"/>
        <w:jc w:val="left"/>
        <w:textAlignment w:val="auto"/>
        <w:rPr>
          <w:rFonts w:ascii="宋体" w:hAnsi="宋体" w:cs="宋体"/>
          <w:bCs/>
          <w:kern w:val="0"/>
        </w:rPr>
      </w:pPr>
      <w:r>
        <w:rPr>
          <w:rFonts w:hint="eastAsia" w:ascii="宋体" w:hAnsi="宋体" w:cs="宋体"/>
          <w:bCs/>
          <w:kern w:val="0"/>
        </w:rPr>
        <w:t>式中：</w:t>
      </w:r>
    </w:p>
    <w:p>
      <w:pPr>
        <w:keepNext w:val="0"/>
        <w:keepLines w:val="0"/>
        <w:pageBreakBefore w:val="0"/>
        <w:widowControl/>
        <w:numPr>
          <w:ilvl w:val="255"/>
          <w:numId w:val="0"/>
        </w:numPr>
        <w:kinsoku/>
        <w:wordWrap/>
        <w:overflowPunct/>
        <w:topLinePunct w:val="0"/>
        <w:bidi w:val="0"/>
        <w:adjustRightInd/>
        <w:spacing w:line="240" w:lineRule="auto"/>
        <w:ind w:firstLine="480"/>
        <w:jc w:val="left"/>
        <w:textAlignment w:val="auto"/>
        <w:rPr>
          <w:rFonts w:ascii="宋体" w:hAnsi="宋体" w:cs="宋体"/>
          <w:bCs/>
          <w:kern w:val="0"/>
        </w:rPr>
      </w:pPr>
      <m:oMath>
        <m:sSub>
          <m:sSubPr>
            <m:ctrlPr>
              <w:rPr>
                <w:rFonts w:hint="eastAsia" w:ascii="Cambria Math" w:hAnsi="Cambria Math" w:cs="宋体"/>
                <w:bCs/>
                <w:kern w:val="0"/>
              </w:rPr>
            </m:ctrlPr>
          </m:sSubPr>
          <m:e>
            <m:r>
              <m:rPr/>
              <w:rPr>
                <w:rFonts w:hint="eastAsia" w:ascii="Cambria Math" w:hAnsi="Cambria Math" w:cs="宋体"/>
                <w:kern w:val="0"/>
              </w:rPr>
              <m:t>M</m:t>
            </m:r>
            <m:ctrlPr>
              <w:rPr>
                <w:rFonts w:hint="eastAsia" w:ascii="Cambria Math" w:hAnsi="Cambria Math" w:cs="宋体"/>
                <w:bCs/>
                <w:kern w:val="0"/>
              </w:rPr>
            </m:ctrlPr>
          </m:e>
          <m:sub>
            <m:r>
              <m:rPr/>
              <w:rPr>
                <w:rFonts w:hint="eastAsia" w:ascii="Cambria Math" w:hAnsi="Cambria Math" w:cs="宋体"/>
                <w:kern w:val="0"/>
              </w:rPr>
              <m:t>i</m:t>
            </m:r>
            <m:ctrlPr>
              <w:rPr>
                <w:rFonts w:hint="eastAsia" w:ascii="Cambria Math" w:hAnsi="Cambria Math" w:cs="宋体"/>
                <w:bCs/>
                <w:kern w:val="0"/>
              </w:rPr>
            </m:ctrlPr>
          </m:sub>
        </m:sSub>
      </m:oMath>
      <w:r>
        <w:rPr>
          <w:rFonts w:hint="eastAsia" w:ascii="宋体" w:hAnsi="宋体" w:cs="宋体"/>
          <w:bCs/>
          <w:kern w:val="0"/>
        </w:rPr>
        <w:t>——</w:t>
      </w:r>
      <w:r>
        <w:rPr>
          <w:rFonts w:hint="eastAsia" w:ascii="宋体" w:hAnsi="宋体" w:cs="宋体"/>
          <w:kern w:val="0"/>
        </w:rPr>
        <w:t>每立方米预拌混凝土中</w:t>
      </w:r>
      <w:r>
        <w:rPr>
          <w:rFonts w:hint="eastAsia" w:ascii="宋体" w:hAnsi="宋体" w:cs="宋体"/>
          <w:bCs/>
          <w:kern w:val="0"/>
        </w:rPr>
        <w:t>第</w:t>
      </w:r>
      <w:r>
        <w:rPr>
          <w:rFonts w:hint="eastAsia" w:ascii="宋体" w:hAnsi="宋体" w:cs="宋体"/>
          <w:bCs/>
          <w:i/>
          <w:iCs/>
          <w:kern w:val="0"/>
        </w:rPr>
        <w:t>i</w:t>
      </w:r>
      <w:r>
        <w:rPr>
          <w:rFonts w:hint="eastAsia" w:ascii="宋体" w:hAnsi="宋体" w:cs="宋体"/>
          <w:bCs/>
          <w:kern w:val="0"/>
        </w:rPr>
        <w:t>种主要原材料的消耗量；</w:t>
      </w:r>
    </w:p>
    <w:p>
      <w:pPr>
        <w:keepNext w:val="0"/>
        <w:keepLines w:val="0"/>
        <w:pageBreakBefore w:val="0"/>
        <w:widowControl/>
        <w:numPr>
          <w:ilvl w:val="255"/>
          <w:numId w:val="0"/>
        </w:numPr>
        <w:kinsoku/>
        <w:wordWrap/>
        <w:overflowPunct/>
        <w:topLinePunct w:val="0"/>
        <w:bidi w:val="0"/>
        <w:adjustRightInd/>
        <w:spacing w:line="240" w:lineRule="auto"/>
        <w:ind w:firstLine="480"/>
        <w:jc w:val="left"/>
        <w:textAlignment w:val="auto"/>
        <w:rPr>
          <w:rFonts w:ascii="宋体" w:hAnsi="宋体" w:cs="宋体"/>
          <w:bCs/>
          <w:kern w:val="0"/>
        </w:rPr>
      </w:pPr>
      <m:oMath>
        <m:sSub>
          <m:sSubPr>
            <m:ctrlPr>
              <w:rPr>
                <w:rFonts w:hint="eastAsia" w:ascii="Cambria Math" w:hAnsi="Cambria Math" w:cs="宋体"/>
                <w:bCs/>
                <w:kern w:val="0"/>
              </w:rPr>
            </m:ctrlPr>
          </m:sSubPr>
          <m:e>
            <m:r>
              <m:rPr/>
              <w:rPr>
                <w:rFonts w:hint="eastAsia" w:ascii="Cambria Math" w:hAnsi="Cambria Math" w:cs="宋体"/>
                <w:kern w:val="0"/>
              </w:rPr>
              <m:t>D</m:t>
            </m:r>
            <m:ctrlPr>
              <w:rPr>
                <w:rFonts w:hint="eastAsia" w:ascii="Cambria Math" w:hAnsi="Cambria Math" w:cs="宋体"/>
                <w:bCs/>
                <w:kern w:val="0"/>
              </w:rPr>
            </m:ctrlPr>
          </m:e>
          <m:sub>
            <m:r>
              <m:rPr/>
              <w:rPr>
                <w:rFonts w:hint="eastAsia" w:ascii="Cambria Math" w:hAnsi="Cambria Math" w:cs="宋体"/>
                <w:kern w:val="0"/>
              </w:rPr>
              <m:t>i</m:t>
            </m:r>
            <m:ctrlPr>
              <w:rPr>
                <w:rFonts w:hint="eastAsia" w:ascii="Cambria Math" w:hAnsi="Cambria Math" w:cs="宋体"/>
                <w:bCs/>
                <w:kern w:val="0"/>
              </w:rPr>
            </m:ctrlPr>
          </m:sub>
        </m:sSub>
      </m:oMath>
      <w:r>
        <w:rPr>
          <w:rFonts w:hint="eastAsia" w:ascii="宋体" w:hAnsi="宋体" w:cs="宋体"/>
          <w:bCs/>
          <w:kern w:val="0"/>
        </w:rPr>
        <w:t>——为第</w:t>
      </w:r>
      <w:r>
        <w:rPr>
          <w:rFonts w:hint="eastAsia" w:ascii="宋体" w:hAnsi="宋体" w:cs="宋体"/>
          <w:bCs/>
          <w:i/>
          <w:iCs/>
          <w:kern w:val="0"/>
        </w:rPr>
        <w:t>i</w:t>
      </w:r>
      <w:r>
        <w:rPr>
          <w:rFonts w:hint="eastAsia" w:ascii="宋体" w:hAnsi="宋体" w:cs="宋体"/>
          <w:bCs/>
          <w:kern w:val="0"/>
        </w:rPr>
        <w:t>种主要原材料的平均运输距离。</w:t>
      </w:r>
      <w:r>
        <w:rPr>
          <w:rFonts w:hint="eastAsia" w:ascii="宋体" w:hAnsi="宋体" w:cs="宋体"/>
          <w:kern w:val="0"/>
        </w:rPr>
        <w:t>预拌混凝土中</w:t>
      </w:r>
      <w:r>
        <w:rPr>
          <w:rFonts w:hint="eastAsia" w:ascii="宋体" w:hAnsi="宋体" w:cs="宋体"/>
          <w:bCs/>
          <w:kern w:val="0"/>
        </w:rPr>
        <w:t>主要原材料的运输距离宜优先采用实际运输距离。当实际运输距离未知时，</w:t>
      </w:r>
      <w:r>
        <w:rPr>
          <w:rFonts w:hint="eastAsia" w:ascii="宋体" w:hAnsi="宋体" w:cs="宋体"/>
          <w:kern w:val="0"/>
        </w:rPr>
        <w:t>预拌混凝土原材料</w:t>
      </w:r>
      <w:r>
        <w:rPr>
          <w:rFonts w:hint="eastAsia" w:ascii="宋体" w:hAnsi="宋体" w:cs="宋体"/>
          <w:bCs/>
          <w:kern w:val="0"/>
        </w:rPr>
        <w:t>的默认运输距离取值为350km。</w:t>
      </w:r>
    </w:p>
    <w:p>
      <w:pPr>
        <w:keepNext w:val="0"/>
        <w:keepLines w:val="0"/>
        <w:pageBreakBefore w:val="0"/>
        <w:widowControl/>
        <w:numPr>
          <w:ilvl w:val="255"/>
          <w:numId w:val="0"/>
        </w:numPr>
        <w:kinsoku/>
        <w:wordWrap/>
        <w:overflowPunct/>
        <w:topLinePunct w:val="0"/>
        <w:bidi w:val="0"/>
        <w:adjustRightInd/>
        <w:spacing w:line="240" w:lineRule="auto"/>
        <w:ind w:firstLine="480"/>
        <w:jc w:val="left"/>
        <w:textAlignment w:val="auto"/>
        <w:rPr>
          <w:rFonts w:hint="eastAsia" w:ascii="宋体" w:hAnsi="宋体" w:cs="宋体"/>
          <w:bCs/>
          <w:kern w:val="0"/>
        </w:rPr>
      </w:pPr>
      <m:oMath>
        <m:sSub>
          <m:sSubPr>
            <m:ctrlPr>
              <w:rPr>
                <w:rFonts w:hint="eastAsia" w:ascii="Cambria Math" w:hAnsi="Cambria Math" w:cs="宋体"/>
                <w:bCs/>
                <w:kern w:val="0"/>
              </w:rPr>
            </m:ctrlPr>
          </m:sSubPr>
          <m:e>
            <m:r>
              <m:rPr/>
              <w:rPr>
                <w:rFonts w:hint="eastAsia" w:ascii="Cambria Math" w:hAnsi="Cambria Math" w:cs="宋体"/>
                <w:kern w:val="0"/>
              </w:rPr>
              <m:t>T</m:t>
            </m:r>
            <m:ctrlPr>
              <w:rPr>
                <w:rFonts w:hint="eastAsia" w:ascii="Cambria Math" w:hAnsi="Cambria Math" w:cs="宋体"/>
                <w:bCs/>
                <w:kern w:val="0"/>
              </w:rPr>
            </m:ctrlPr>
          </m:e>
          <m:sub>
            <m:r>
              <m:rPr/>
              <w:rPr>
                <w:rFonts w:hint="eastAsia" w:ascii="Cambria Math" w:hAnsi="Cambria Math" w:cs="宋体"/>
                <w:kern w:val="0"/>
              </w:rPr>
              <m:t>i</m:t>
            </m:r>
            <m:ctrlPr>
              <w:rPr>
                <w:rFonts w:hint="eastAsia" w:ascii="Cambria Math" w:hAnsi="Cambria Math" w:cs="宋体"/>
                <w:bCs/>
                <w:kern w:val="0"/>
              </w:rPr>
            </m:ctrlPr>
          </m:sub>
        </m:sSub>
      </m:oMath>
      <w:r>
        <w:rPr>
          <w:rFonts w:hint="eastAsia" w:ascii="宋体" w:hAnsi="宋体" w:cs="宋体"/>
          <w:bCs/>
          <w:kern w:val="0"/>
        </w:rPr>
        <w:t>——第</w:t>
      </w:r>
      <w:r>
        <w:rPr>
          <w:rFonts w:hint="eastAsia" w:ascii="宋体" w:hAnsi="宋体" w:cs="宋体"/>
          <w:bCs/>
          <w:i/>
          <w:iCs/>
          <w:kern w:val="0"/>
        </w:rPr>
        <w:t>i</w:t>
      </w:r>
      <w:r>
        <w:rPr>
          <w:rFonts w:hint="eastAsia" w:ascii="宋体" w:hAnsi="宋体" w:cs="宋体"/>
          <w:bCs/>
          <w:kern w:val="0"/>
        </w:rPr>
        <w:t>种主要原材料的运输方式下，单位重量运输距离的碳排放因子，应按表4选取。</w:t>
      </w:r>
    </w:p>
    <w:p>
      <w:pPr>
        <w:keepNext w:val="0"/>
        <w:keepLines w:val="0"/>
        <w:pageBreakBefore w:val="0"/>
        <w:widowControl/>
        <w:numPr>
          <w:ilvl w:val="255"/>
          <w:numId w:val="0"/>
        </w:numPr>
        <w:kinsoku/>
        <w:wordWrap/>
        <w:overflowPunct/>
        <w:topLinePunct w:val="0"/>
        <w:bidi w:val="0"/>
        <w:adjustRightInd/>
        <w:spacing w:line="240" w:lineRule="auto"/>
        <w:ind w:firstLine="480"/>
        <w:jc w:val="left"/>
        <w:textAlignment w:val="auto"/>
        <w:rPr>
          <w:rFonts w:hint="eastAsia" w:ascii="宋体" w:hAnsi="宋体" w:cs="宋体"/>
          <w:bCs/>
          <w:kern w:val="0"/>
        </w:rPr>
      </w:pPr>
    </w:p>
    <w:p>
      <w:pPr>
        <w:keepNext w:val="0"/>
        <w:keepLines w:val="0"/>
        <w:pageBreakBefore w:val="0"/>
        <w:numPr>
          <w:ilvl w:val="255"/>
          <w:numId w:val="0"/>
        </w:numPr>
        <w:tabs>
          <w:tab w:val="left" w:pos="20"/>
        </w:tabs>
        <w:kinsoku/>
        <w:wordWrap/>
        <w:overflowPunct/>
        <w:topLinePunct w:val="0"/>
        <w:bidi w:val="0"/>
        <w:adjustRightInd/>
        <w:spacing w:before="156" w:beforeLines="50" w:after="156" w:afterLines="50" w:line="240" w:lineRule="auto"/>
        <w:jc w:val="center"/>
        <w:textAlignment w:val="auto"/>
        <w:rPr>
          <w:rFonts w:ascii="黑体" w:hAnsi="黑体" w:eastAsia="黑体" w:cs="黑体"/>
          <w:bCs/>
        </w:rPr>
      </w:pPr>
      <w:r>
        <w:rPr>
          <w:rFonts w:hint="eastAsia" w:ascii="黑体" w:hAnsi="黑体" w:eastAsia="黑体" w:cs="黑体"/>
          <w:bCs/>
        </w:rPr>
        <w:t>表4 各类运输方式的碳排放因子值[kgCO</w:t>
      </w:r>
      <w:r>
        <w:rPr>
          <w:rFonts w:hint="eastAsia" w:ascii="黑体" w:hAnsi="黑体" w:eastAsia="黑体" w:cs="黑体"/>
          <w:bCs/>
          <w:vertAlign w:val="subscript"/>
        </w:rPr>
        <w:t>2</w:t>
      </w:r>
      <w:r>
        <w:rPr>
          <w:rFonts w:hint="eastAsia" w:ascii="黑体" w:hAnsi="黑体" w:eastAsia="黑体" w:cs="黑体"/>
          <w:bCs/>
        </w:rPr>
        <w:t>e/(t·km)]</w:t>
      </w:r>
    </w:p>
    <w:tbl>
      <w:tblPr>
        <w:tblStyle w:val="240"/>
        <w:tblW w:w="877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2967"/>
        <w:gridCol w:w="1424"/>
        <w:gridCol w:w="2829"/>
        <w:gridCol w:w="155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2967" w:type="dxa"/>
            <w:tcBorders>
              <w:top w:val="single" w:color="auto" w:sz="8" w:space="0"/>
              <w:bottom w:val="single" w:color="auto" w:sz="8" w:space="0"/>
            </w:tcBorders>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sz w:val="18"/>
                <w:szCs w:val="18"/>
                <w:lang w:eastAsia="en-US"/>
              </w:rPr>
            </w:pPr>
            <w:r>
              <w:rPr>
                <w:rFonts w:hint="eastAsia" w:ascii="宋体" w:hAnsi="宋体" w:cs="宋体"/>
                <w:w w:val="105"/>
                <w:sz w:val="18"/>
                <w:szCs w:val="18"/>
                <w:lang w:eastAsia="en-US"/>
              </w:rPr>
              <w:t>运输方式类别</w:t>
            </w:r>
          </w:p>
        </w:tc>
        <w:tc>
          <w:tcPr>
            <w:tcW w:w="1424" w:type="dxa"/>
            <w:tcBorders>
              <w:top w:val="single" w:color="auto" w:sz="8" w:space="0"/>
              <w:bottom w:val="single" w:color="auto" w:sz="8" w:space="0"/>
            </w:tcBorders>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sz w:val="18"/>
                <w:szCs w:val="18"/>
                <w:lang w:eastAsia="en-US"/>
              </w:rPr>
            </w:pPr>
            <w:r>
              <w:rPr>
                <w:rFonts w:hint="eastAsia" w:ascii="宋体" w:hAnsi="宋体" w:cs="宋体"/>
                <w:w w:val="105"/>
                <w:sz w:val="18"/>
                <w:szCs w:val="18"/>
                <w:lang w:eastAsia="en-US"/>
              </w:rPr>
              <w:t>碳排放因子</w:t>
            </w:r>
          </w:p>
        </w:tc>
        <w:tc>
          <w:tcPr>
            <w:tcW w:w="2829" w:type="dxa"/>
            <w:tcBorders>
              <w:top w:val="single" w:color="auto" w:sz="8" w:space="0"/>
              <w:bottom w:val="single" w:color="auto" w:sz="8" w:space="0"/>
            </w:tcBorders>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sz w:val="18"/>
                <w:szCs w:val="18"/>
                <w:lang w:eastAsia="en-US"/>
              </w:rPr>
            </w:pPr>
            <w:r>
              <w:rPr>
                <w:rFonts w:hint="eastAsia" w:ascii="宋体" w:hAnsi="宋体" w:cs="宋体"/>
                <w:w w:val="105"/>
                <w:sz w:val="18"/>
                <w:szCs w:val="18"/>
                <w:lang w:eastAsia="en-US"/>
              </w:rPr>
              <w:t>运输方式类别</w:t>
            </w:r>
          </w:p>
        </w:tc>
        <w:tc>
          <w:tcPr>
            <w:tcW w:w="1559" w:type="dxa"/>
            <w:tcBorders>
              <w:top w:val="single" w:color="auto" w:sz="8" w:space="0"/>
              <w:bottom w:val="single" w:color="auto" w:sz="8" w:space="0"/>
            </w:tcBorders>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sz w:val="18"/>
                <w:szCs w:val="18"/>
                <w:lang w:eastAsia="en-US"/>
              </w:rPr>
            </w:pPr>
            <w:r>
              <w:rPr>
                <w:rFonts w:hint="eastAsia" w:ascii="宋体" w:hAnsi="宋体" w:cs="宋体"/>
                <w:w w:val="105"/>
                <w:sz w:val="18"/>
                <w:szCs w:val="18"/>
                <w:lang w:eastAsia="en-US"/>
              </w:rPr>
              <w:t>碳排放因子</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2967" w:type="dxa"/>
            <w:tcBorders>
              <w:top w:val="single" w:color="auto" w:sz="8" w:space="0"/>
            </w:tcBorders>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bCs/>
                <w:kern w:val="0"/>
                <w:sz w:val="18"/>
                <w:szCs w:val="18"/>
                <w:lang w:eastAsia="en-US"/>
              </w:rPr>
            </w:pPr>
            <w:r>
              <w:rPr>
                <w:rFonts w:hint="eastAsia" w:ascii="宋体" w:hAnsi="宋体" w:cs="宋体"/>
                <w:bCs/>
                <w:kern w:val="0"/>
                <w:sz w:val="18"/>
                <w:szCs w:val="18"/>
                <w:lang w:eastAsia="en-US"/>
              </w:rPr>
              <w:t>轻型汽油货车运输（载重2t）</w:t>
            </w:r>
          </w:p>
        </w:tc>
        <w:tc>
          <w:tcPr>
            <w:tcW w:w="1424" w:type="dxa"/>
            <w:tcBorders>
              <w:top w:val="single" w:color="auto" w:sz="8" w:space="0"/>
            </w:tcBorders>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bCs/>
                <w:kern w:val="0"/>
                <w:sz w:val="18"/>
                <w:szCs w:val="18"/>
                <w:lang w:eastAsia="en-US"/>
              </w:rPr>
            </w:pPr>
            <w:r>
              <w:rPr>
                <w:rFonts w:hint="eastAsia" w:ascii="宋体" w:hAnsi="宋体" w:cs="宋体"/>
                <w:bCs/>
                <w:kern w:val="0"/>
                <w:sz w:val="18"/>
                <w:szCs w:val="18"/>
                <w:lang w:eastAsia="en-US"/>
              </w:rPr>
              <w:t>0.334</w:t>
            </w:r>
          </w:p>
        </w:tc>
        <w:tc>
          <w:tcPr>
            <w:tcW w:w="2829" w:type="dxa"/>
            <w:tcBorders>
              <w:top w:val="single" w:color="auto" w:sz="8" w:space="0"/>
            </w:tcBorders>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bCs/>
                <w:kern w:val="0"/>
                <w:sz w:val="18"/>
                <w:szCs w:val="18"/>
                <w:lang w:eastAsia="en-US"/>
              </w:rPr>
            </w:pPr>
            <w:r>
              <w:rPr>
                <w:rFonts w:hint="eastAsia" w:ascii="宋体" w:hAnsi="宋体" w:cs="宋体"/>
                <w:bCs/>
                <w:kern w:val="0"/>
                <w:sz w:val="18"/>
                <w:szCs w:val="18"/>
                <w:lang w:eastAsia="en-US"/>
              </w:rPr>
              <w:t>中型汽油货车运输（载重8t）</w:t>
            </w:r>
          </w:p>
        </w:tc>
        <w:tc>
          <w:tcPr>
            <w:tcW w:w="1559" w:type="dxa"/>
            <w:tcBorders>
              <w:top w:val="single" w:color="auto" w:sz="8" w:space="0"/>
            </w:tcBorders>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bCs/>
                <w:kern w:val="0"/>
                <w:sz w:val="18"/>
                <w:szCs w:val="18"/>
                <w:lang w:eastAsia="en-US"/>
              </w:rPr>
            </w:pPr>
            <w:r>
              <w:rPr>
                <w:rFonts w:hint="eastAsia" w:ascii="宋体" w:hAnsi="宋体" w:cs="宋体"/>
                <w:bCs/>
                <w:kern w:val="0"/>
                <w:sz w:val="18"/>
                <w:szCs w:val="18"/>
                <w:lang w:eastAsia="en-US"/>
              </w:rPr>
              <w:t>0.115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2967"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bCs/>
                <w:kern w:val="0"/>
                <w:sz w:val="18"/>
                <w:szCs w:val="18"/>
                <w:lang w:eastAsia="en-US"/>
              </w:rPr>
            </w:pPr>
            <w:r>
              <w:rPr>
                <w:rFonts w:hint="eastAsia" w:ascii="宋体" w:hAnsi="宋体" w:cs="宋体"/>
                <w:bCs/>
                <w:kern w:val="0"/>
                <w:sz w:val="18"/>
                <w:szCs w:val="18"/>
                <w:lang w:eastAsia="en-US"/>
              </w:rPr>
              <w:t>重型汽油货车运输（载重10t）</w:t>
            </w:r>
          </w:p>
        </w:tc>
        <w:tc>
          <w:tcPr>
            <w:tcW w:w="1424"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bCs/>
                <w:kern w:val="0"/>
                <w:sz w:val="18"/>
                <w:szCs w:val="18"/>
                <w:lang w:eastAsia="en-US"/>
              </w:rPr>
            </w:pPr>
            <w:r>
              <w:rPr>
                <w:rFonts w:hint="eastAsia" w:ascii="宋体" w:hAnsi="宋体" w:cs="宋体"/>
                <w:bCs/>
                <w:kern w:val="0"/>
                <w:sz w:val="18"/>
                <w:szCs w:val="18"/>
                <w:lang w:eastAsia="en-US"/>
              </w:rPr>
              <w:t>0.104</w:t>
            </w:r>
          </w:p>
        </w:tc>
        <w:tc>
          <w:tcPr>
            <w:tcW w:w="2829"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bCs/>
                <w:kern w:val="0"/>
                <w:sz w:val="18"/>
                <w:szCs w:val="18"/>
                <w:lang w:eastAsia="en-US"/>
              </w:rPr>
            </w:pPr>
            <w:r>
              <w:rPr>
                <w:rFonts w:hint="eastAsia" w:ascii="宋体" w:hAnsi="宋体" w:cs="宋体"/>
                <w:bCs/>
                <w:kern w:val="0"/>
                <w:sz w:val="18"/>
                <w:szCs w:val="18"/>
                <w:lang w:eastAsia="en-US"/>
              </w:rPr>
              <w:t>重型汽油货车运输（载重18t）</w:t>
            </w:r>
          </w:p>
        </w:tc>
        <w:tc>
          <w:tcPr>
            <w:tcW w:w="1559"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bCs/>
                <w:kern w:val="0"/>
                <w:sz w:val="18"/>
                <w:szCs w:val="18"/>
                <w:lang w:eastAsia="en-US"/>
              </w:rPr>
            </w:pPr>
            <w:r>
              <w:rPr>
                <w:rFonts w:hint="eastAsia" w:ascii="宋体" w:hAnsi="宋体" w:cs="宋体"/>
                <w:bCs/>
                <w:kern w:val="0"/>
                <w:sz w:val="18"/>
                <w:szCs w:val="18"/>
                <w:lang w:eastAsia="en-US"/>
              </w:rPr>
              <w:t>0.104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2967"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bCs/>
                <w:kern w:val="0"/>
                <w:sz w:val="18"/>
                <w:szCs w:val="18"/>
                <w:lang w:eastAsia="en-US"/>
              </w:rPr>
            </w:pPr>
            <w:r>
              <w:rPr>
                <w:rFonts w:hint="eastAsia" w:ascii="宋体" w:hAnsi="宋体" w:cs="宋体"/>
                <w:bCs/>
                <w:kern w:val="0"/>
                <w:sz w:val="18"/>
                <w:szCs w:val="18"/>
                <w:lang w:eastAsia="en-US"/>
              </w:rPr>
              <w:t>轻型柴油货车运输（载重2t）</w:t>
            </w:r>
          </w:p>
        </w:tc>
        <w:tc>
          <w:tcPr>
            <w:tcW w:w="1424"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bCs/>
                <w:kern w:val="0"/>
                <w:sz w:val="18"/>
                <w:szCs w:val="18"/>
                <w:lang w:eastAsia="en-US"/>
              </w:rPr>
            </w:pPr>
            <w:r>
              <w:rPr>
                <w:rFonts w:hint="eastAsia" w:ascii="宋体" w:hAnsi="宋体" w:cs="宋体"/>
                <w:bCs/>
                <w:kern w:val="0"/>
                <w:sz w:val="18"/>
                <w:szCs w:val="18"/>
                <w:lang w:eastAsia="en-US"/>
              </w:rPr>
              <w:t>0.286</w:t>
            </w:r>
          </w:p>
        </w:tc>
        <w:tc>
          <w:tcPr>
            <w:tcW w:w="2829"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bCs/>
                <w:kern w:val="0"/>
                <w:sz w:val="18"/>
                <w:szCs w:val="18"/>
                <w:lang w:eastAsia="en-US"/>
              </w:rPr>
            </w:pPr>
            <w:r>
              <w:rPr>
                <w:rFonts w:hint="eastAsia" w:ascii="宋体" w:hAnsi="宋体" w:cs="宋体"/>
                <w:bCs/>
                <w:kern w:val="0"/>
                <w:sz w:val="18"/>
                <w:szCs w:val="18"/>
                <w:lang w:eastAsia="en-US"/>
              </w:rPr>
              <w:t>中型柴油货车运输（载重8t）</w:t>
            </w:r>
          </w:p>
        </w:tc>
        <w:tc>
          <w:tcPr>
            <w:tcW w:w="1559"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bCs/>
                <w:kern w:val="0"/>
                <w:sz w:val="18"/>
                <w:szCs w:val="18"/>
                <w:lang w:eastAsia="en-US"/>
              </w:rPr>
            </w:pPr>
            <w:r>
              <w:rPr>
                <w:rFonts w:hint="eastAsia" w:ascii="宋体" w:hAnsi="宋体" w:cs="宋体"/>
                <w:bCs/>
                <w:kern w:val="0"/>
                <w:sz w:val="18"/>
                <w:szCs w:val="18"/>
                <w:lang w:eastAsia="en-US"/>
              </w:rPr>
              <w:t>0.179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2967"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bCs/>
                <w:kern w:val="0"/>
                <w:sz w:val="18"/>
                <w:szCs w:val="18"/>
                <w:lang w:eastAsia="en-US"/>
              </w:rPr>
            </w:pPr>
            <w:r>
              <w:rPr>
                <w:rFonts w:hint="eastAsia" w:ascii="宋体" w:hAnsi="宋体" w:cs="宋体"/>
                <w:bCs/>
                <w:kern w:val="0"/>
                <w:sz w:val="18"/>
                <w:szCs w:val="18"/>
                <w:lang w:eastAsia="en-US"/>
              </w:rPr>
              <w:t>重型柴油货车运输（载重10t）</w:t>
            </w:r>
          </w:p>
        </w:tc>
        <w:tc>
          <w:tcPr>
            <w:tcW w:w="1424"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bCs/>
                <w:kern w:val="0"/>
                <w:sz w:val="18"/>
                <w:szCs w:val="18"/>
                <w:lang w:eastAsia="en-US"/>
              </w:rPr>
            </w:pPr>
            <w:r>
              <w:rPr>
                <w:rFonts w:hint="eastAsia" w:ascii="宋体" w:hAnsi="宋体" w:cs="宋体"/>
                <w:bCs/>
                <w:kern w:val="0"/>
                <w:sz w:val="18"/>
                <w:szCs w:val="18"/>
                <w:lang w:eastAsia="en-US"/>
              </w:rPr>
              <w:t>0.162</w:t>
            </w:r>
          </w:p>
        </w:tc>
        <w:tc>
          <w:tcPr>
            <w:tcW w:w="2829"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bCs/>
                <w:kern w:val="0"/>
                <w:sz w:val="18"/>
                <w:szCs w:val="18"/>
                <w:lang w:eastAsia="en-US"/>
              </w:rPr>
            </w:pPr>
            <w:r>
              <w:rPr>
                <w:rFonts w:hint="eastAsia" w:ascii="宋体" w:hAnsi="宋体" w:cs="宋体"/>
                <w:bCs/>
                <w:kern w:val="0"/>
                <w:sz w:val="18"/>
                <w:szCs w:val="18"/>
                <w:lang w:eastAsia="en-US"/>
              </w:rPr>
              <w:t>重型柴油货车运输（载重18t）</w:t>
            </w:r>
          </w:p>
        </w:tc>
        <w:tc>
          <w:tcPr>
            <w:tcW w:w="1559"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bCs/>
                <w:kern w:val="0"/>
                <w:sz w:val="18"/>
                <w:szCs w:val="18"/>
                <w:lang w:eastAsia="en-US"/>
              </w:rPr>
            </w:pPr>
            <w:r>
              <w:rPr>
                <w:rFonts w:hint="eastAsia" w:ascii="宋体" w:hAnsi="宋体" w:cs="宋体"/>
                <w:bCs/>
                <w:kern w:val="0"/>
                <w:sz w:val="18"/>
                <w:szCs w:val="18"/>
                <w:lang w:eastAsia="en-US"/>
              </w:rPr>
              <w:t>0.129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2967"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bCs/>
                <w:kern w:val="0"/>
                <w:sz w:val="18"/>
                <w:szCs w:val="18"/>
                <w:lang w:eastAsia="en-US"/>
              </w:rPr>
            </w:pPr>
            <w:r>
              <w:rPr>
                <w:rFonts w:hint="eastAsia" w:ascii="宋体" w:hAnsi="宋体" w:cs="宋体"/>
                <w:bCs/>
                <w:kern w:val="0"/>
                <w:sz w:val="18"/>
                <w:szCs w:val="18"/>
                <w:lang w:eastAsia="en-US"/>
              </w:rPr>
              <w:t>重型柴油货车运输（载重30t）</w:t>
            </w:r>
          </w:p>
        </w:tc>
        <w:tc>
          <w:tcPr>
            <w:tcW w:w="1424"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bCs/>
                <w:kern w:val="0"/>
                <w:sz w:val="18"/>
                <w:szCs w:val="18"/>
                <w:lang w:eastAsia="en-US"/>
              </w:rPr>
            </w:pPr>
            <w:r>
              <w:rPr>
                <w:rFonts w:hint="eastAsia" w:ascii="宋体" w:hAnsi="宋体" w:cs="宋体"/>
                <w:bCs/>
                <w:kern w:val="0"/>
                <w:sz w:val="18"/>
                <w:szCs w:val="18"/>
                <w:lang w:eastAsia="en-US"/>
              </w:rPr>
              <w:t>0.078</w:t>
            </w:r>
          </w:p>
        </w:tc>
        <w:tc>
          <w:tcPr>
            <w:tcW w:w="2829"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bCs/>
                <w:kern w:val="0"/>
                <w:sz w:val="18"/>
                <w:szCs w:val="18"/>
                <w:lang w:eastAsia="en-US"/>
              </w:rPr>
            </w:pPr>
            <w:r>
              <w:rPr>
                <w:rFonts w:hint="eastAsia" w:ascii="宋体" w:hAnsi="宋体" w:cs="宋体"/>
                <w:bCs/>
                <w:kern w:val="0"/>
                <w:sz w:val="18"/>
                <w:szCs w:val="18"/>
                <w:lang w:eastAsia="en-US"/>
              </w:rPr>
              <w:t>重型柴油货车运输（载重46t）</w:t>
            </w:r>
          </w:p>
        </w:tc>
        <w:tc>
          <w:tcPr>
            <w:tcW w:w="1559"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bCs/>
                <w:kern w:val="0"/>
                <w:sz w:val="18"/>
                <w:szCs w:val="18"/>
                <w:lang w:eastAsia="en-US"/>
              </w:rPr>
            </w:pPr>
            <w:r>
              <w:rPr>
                <w:rFonts w:hint="eastAsia" w:ascii="宋体" w:hAnsi="宋体" w:cs="宋体"/>
                <w:bCs/>
                <w:kern w:val="0"/>
                <w:sz w:val="18"/>
                <w:szCs w:val="18"/>
                <w:lang w:eastAsia="en-US"/>
              </w:rPr>
              <w:t>0.057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2967"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bCs/>
                <w:kern w:val="0"/>
                <w:sz w:val="18"/>
                <w:szCs w:val="18"/>
                <w:lang w:eastAsia="en-US"/>
              </w:rPr>
            </w:pPr>
            <w:r>
              <w:rPr>
                <w:rFonts w:hint="eastAsia" w:ascii="宋体" w:hAnsi="宋体" w:cs="宋体"/>
                <w:bCs/>
                <w:kern w:val="0"/>
                <w:sz w:val="18"/>
                <w:szCs w:val="18"/>
                <w:lang w:eastAsia="en-US"/>
              </w:rPr>
              <w:t>电力机车运输</w:t>
            </w:r>
          </w:p>
        </w:tc>
        <w:tc>
          <w:tcPr>
            <w:tcW w:w="1424"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bCs/>
                <w:kern w:val="0"/>
                <w:sz w:val="18"/>
                <w:szCs w:val="18"/>
                <w:lang w:eastAsia="en-US"/>
              </w:rPr>
            </w:pPr>
            <w:r>
              <w:rPr>
                <w:rFonts w:hint="eastAsia" w:ascii="宋体" w:hAnsi="宋体" w:cs="宋体"/>
                <w:bCs/>
                <w:kern w:val="0"/>
                <w:sz w:val="18"/>
                <w:szCs w:val="18"/>
                <w:lang w:eastAsia="en-US"/>
              </w:rPr>
              <w:t>0.010</w:t>
            </w:r>
          </w:p>
        </w:tc>
        <w:tc>
          <w:tcPr>
            <w:tcW w:w="2829"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bCs/>
                <w:kern w:val="0"/>
                <w:sz w:val="18"/>
                <w:szCs w:val="18"/>
                <w:lang w:eastAsia="en-US"/>
              </w:rPr>
            </w:pPr>
            <w:r>
              <w:rPr>
                <w:rFonts w:hint="eastAsia" w:ascii="宋体" w:hAnsi="宋体" w:cs="宋体"/>
                <w:bCs/>
                <w:kern w:val="0"/>
                <w:sz w:val="18"/>
                <w:szCs w:val="18"/>
                <w:lang w:eastAsia="en-US"/>
              </w:rPr>
              <w:t>内燃机车运输</w:t>
            </w:r>
          </w:p>
        </w:tc>
        <w:tc>
          <w:tcPr>
            <w:tcW w:w="1559"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bCs/>
                <w:kern w:val="0"/>
                <w:sz w:val="18"/>
                <w:szCs w:val="18"/>
                <w:lang w:eastAsia="en-US"/>
              </w:rPr>
            </w:pPr>
            <w:r>
              <w:rPr>
                <w:rFonts w:hint="eastAsia" w:ascii="宋体" w:hAnsi="宋体" w:cs="宋体"/>
                <w:bCs/>
                <w:kern w:val="0"/>
                <w:sz w:val="18"/>
                <w:szCs w:val="18"/>
                <w:lang w:eastAsia="en-US"/>
              </w:rPr>
              <w:t>0.011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2967"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bCs/>
                <w:kern w:val="0"/>
                <w:sz w:val="18"/>
                <w:szCs w:val="18"/>
                <w:lang w:eastAsia="en-US"/>
              </w:rPr>
            </w:pPr>
            <w:r>
              <w:rPr>
                <w:rFonts w:hint="eastAsia" w:ascii="宋体" w:hAnsi="宋体" w:cs="宋体"/>
                <w:bCs/>
                <w:kern w:val="0"/>
                <w:sz w:val="18"/>
                <w:szCs w:val="18"/>
                <w:lang w:eastAsia="en-US"/>
              </w:rPr>
              <w:t>铁路运输（中国市场平均）</w:t>
            </w:r>
          </w:p>
        </w:tc>
        <w:tc>
          <w:tcPr>
            <w:tcW w:w="1424"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bCs/>
                <w:kern w:val="0"/>
                <w:sz w:val="18"/>
                <w:szCs w:val="18"/>
                <w:lang w:eastAsia="en-US"/>
              </w:rPr>
            </w:pPr>
            <w:r>
              <w:rPr>
                <w:rFonts w:hint="eastAsia" w:ascii="宋体" w:hAnsi="宋体" w:cs="宋体"/>
                <w:bCs/>
                <w:kern w:val="0"/>
                <w:sz w:val="18"/>
                <w:szCs w:val="18"/>
                <w:lang w:eastAsia="en-US"/>
              </w:rPr>
              <w:t>0.010</w:t>
            </w:r>
          </w:p>
        </w:tc>
        <w:tc>
          <w:tcPr>
            <w:tcW w:w="2829"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bCs/>
                <w:kern w:val="0"/>
                <w:sz w:val="18"/>
                <w:szCs w:val="18"/>
                <w:lang w:eastAsia="en-US"/>
              </w:rPr>
            </w:pPr>
            <w:r>
              <w:rPr>
                <w:rFonts w:hint="eastAsia" w:ascii="宋体" w:hAnsi="宋体" w:cs="宋体"/>
                <w:kern w:val="0"/>
                <w:sz w:val="18"/>
                <w:szCs w:val="18"/>
                <w:lang w:eastAsia="en-US"/>
              </w:rPr>
              <w:t>集装箱船运输（载重200TEU）</w:t>
            </w:r>
          </w:p>
        </w:tc>
        <w:tc>
          <w:tcPr>
            <w:tcW w:w="1559"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bCs/>
                <w:kern w:val="0"/>
                <w:sz w:val="18"/>
                <w:szCs w:val="18"/>
                <w:lang w:eastAsia="en-US"/>
              </w:rPr>
            </w:pPr>
            <w:r>
              <w:rPr>
                <w:rFonts w:hint="eastAsia" w:ascii="宋体" w:hAnsi="宋体" w:cs="宋体"/>
                <w:kern w:val="0"/>
                <w:sz w:val="18"/>
                <w:szCs w:val="18"/>
                <w:lang w:eastAsia="en-US"/>
              </w:rPr>
              <w:t>0.012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2967" w:type="dxa"/>
            <w:tcBorders>
              <w:bottom w:val="single" w:color="auto" w:sz="8" w:space="0"/>
            </w:tcBorders>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bCs/>
                <w:kern w:val="0"/>
                <w:sz w:val="18"/>
                <w:szCs w:val="18"/>
                <w:lang w:eastAsia="en-US"/>
              </w:rPr>
            </w:pPr>
            <w:r>
              <w:rPr>
                <w:rFonts w:hint="eastAsia" w:ascii="宋体" w:hAnsi="宋体" w:cs="宋体"/>
                <w:bCs/>
                <w:kern w:val="0"/>
                <w:sz w:val="18"/>
                <w:szCs w:val="18"/>
                <w:lang w:eastAsia="en-US"/>
              </w:rPr>
              <w:t>液货船运输（载重2000t）</w:t>
            </w:r>
          </w:p>
        </w:tc>
        <w:tc>
          <w:tcPr>
            <w:tcW w:w="1424" w:type="dxa"/>
            <w:tcBorders>
              <w:bottom w:val="single" w:color="auto" w:sz="8" w:space="0"/>
            </w:tcBorders>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bCs/>
                <w:kern w:val="0"/>
                <w:sz w:val="18"/>
                <w:szCs w:val="18"/>
                <w:lang w:eastAsia="en-US"/>
              </w:rPr>
            </w:pPr>
            <w:r>
              <w:rPr>
                <w:rFonts w:hint="eastAsia" w:ascii="宋体" w:hAnsi="宋体" w:cs="宋体"/>
                <w:bCs/>
                <w:kern w:val="0"/>
                <w:sz w:val="18"/>
                <w:szCs w:val="18"/>
                <w:lang w:eastAsia="en-US"/>
              </w:rPr>
              <w:t>0.019</w:t>
            </w:r>
          </w:p>
        </w:tc>
        <w:tc>
          <w:tcPr>
            <w:tcW w:w="2829" w:type="dxa"/>
            <w:tcBorders>
              <w:bottom w:val="single" w:color="auto" w:sz="8" w:space="0"/>
            </w:tcBorders>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r>
              <w:rPr>
                <w:rFonts w:hint="eastAsia" w:ascii="宋体" w:hAnsi="宋体" w:cs="宋体"/>
                <w:bCs/>
                <w:kern w:val="0"/>
                <w:sz w:val="18"/>
                <w:szCs w:val="18"/>
                <w:lang w:eastAsia="en-US"/>
              </w:rPr>
              <w:t>干散货船运输（载重2500t）</w:t>
            </w:r>
          </w:p>
        </w:tc>
        <w:tc>
          <w:tcPr>
            <w:tcW w:w="1559" w:type="dxa"/>
            <w:tcBorders>
              <w:bottom w:val="single" w:color="auto" w:sz="8" w:space="0"/>
            </w:tcBorders>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r>
              <w:rPr>
                <w:rFonts w:hint="eastAsia" w:ascii="宋体" w:hAnsi="宋体" w:cs="宋体"/>
                <w:bCs/>
                <w:kern w:val="0"/>
                <w:sz w:val="18"/>
                <w:szCs w:val="18"/>
                <w:lang w:eastAsia="en-US"/>
              </w:rPr>
              <w:t>0.015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779" w:type="dxa"/>
            <w:gridSpan w:val="4"/>
            <w:tcBorders>
              <w:top w:val="single" w:color="auto" w:sz="8" w:space="0"/>
              <w:bottom w:val="single" w:color="auto" w:sz="8" w:space="0"/>
            </w:tcBorders>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ind w:firstLine="360" w:firstLineChars="200"/>
              <w:jc w:val="center"/>
              <w:textAlignment w:val="auto"/>
              <w:rPr>
                <w:rFonts w:ascii="宋体" w:hAnsi="宋体" w:cs="宋体"/>
                <w:bCs/>
                <w:kern w:val="0"/>
                <w:sz w:val="18"/>
                <w:szCs w:val="18"/>
                <w:lang w:eastAsia="en-US"/>
              </w:rPr>
            </w:pPr>
            <w:r>
              <w:rPr>
                <w:rFonts w:hint="eastAsia" w:ascii="宋体" w:hAnsi="宋体" w:cs="宋体"/>
                <w:bCs/>
                <w:sz w:val="18"/>
                <w:szCs w:val="18"/>
                <w:lang w:eastAsia="en-US" w:bidi="ar"/>
              </w:rPr>
              <w:t>注：数据来源于《建筑碳排放计算标准》（GB/T 51366-2019）</w:t>
            </w:r>
          </w:p>
        </w:tc>
      </w:tr>
    </w:tbl>
    <w:p>
      <w:pPr>
        <w:pStyle w:val="213"/>
        <w:keepNext w:val="0"/>
        <w:keepLines w:val="0"/>
        <w:pageBreakBefore w:val="0"/>
        <w:kinsoku/>
        <w:wordWrap/>
        <w:overflowPunct/>
        <w:topLinePunct w:val="0"/>
        <w:autoSpaceDE/>
        <w:autoSpaceDN/>
        <w:bidi w:val="0"/>
        <w:adjustRightInd/>
        <w:snapToGrid/>
        <w:spacing w:line="240" w:lineRule="auto"/>
        <w:textAlignment w:val="auto"/>
      </w:pPr>
      <w:r>
        <w:rPr>
          <w:rFonts w:hint="eastAsia"/>
        </w:rPr>
        <w:t>机械设备能源资源消耗主要包括化石燃料燃烧碳排放、电力碳排放、热力碳排放和水的碳排放，每立方米预拌混凝土生产中因机械设备消耗能源资源而产生的碳排放量应按下式计算：</w:t>
      </w:r>
    </w:p>
    <w:p>
      <w:pPr>
        <w:keepNext w:val="0"/>
        <w:keepLines w:val="0"/>
        <w:pageBreakBefore w:val="0"/>
        <w:widowControl/>
        <w:numPr>
          <w:ilvl w:val="255"/>
          <w:numId w:val="0"/>
        </w:numPr>
        <w:tabs>
          <w:tab w:val="center" w:pos="4150"/>
          <w:tab w:val="right" w:pos="8301"/>
        </w:tabs>
        <w:kinsoku/>
        <w:wordWrap/>
        <w:overflowPunct/>
        <w:topLinePunct w:val="0"/>
        <w:autoSpaceDE/>
        <w:autoSpaceDN/>
        <w:bidi w:val="0"/>
        <w:adjustRightInd/>
        <w:snapToGrid/>
        <w:spacing w:line="240" w:lineRule="auto"/>
        <w:ind w:left="851" w:hanging="426"/>
        <w:jc w:val="right"/>
        <w:textAlignment w:val="auto"/>
        <w:rPr>
          <w:rFonts w:ascii="宋体" w:hAnsi="宋体" w:cs="宋体"/>
          <w:kern w:val="0"/>
        </w:rPr>
      </w:pPr>
      <w:r>
        <w:rPr>
          <w:rFonts w:hint="eastAsia" w:ascii="宋体" w:hAnsi="宋体" w:cs="宋体"/>
          <w:kern w:val="0"/>
        </w:rPr>
        <w:tab/>
      </w:r>
      <m:oMath>
        <m:sSub>
          <m:sSubPr>
            <m:ctrlPr>
              <w:rPr>
                <w:rFonts w:hint="eastAsia" w:ascii="Cambria Math" w:hAnsi="Cambria Math" w:cs="宋体"/>
                <w:kern w:val="0"/>
              </w:rPr>
            </m:ctrlPr>
          </m:sSubPr>
          <m:e>
            <m:r>
              <m:rPr/>
              <w:rPr>
                <w:rFonts w:hint="eastAsia" w:ascii="Cambria Math" w:hAnsi="Cambria Math" w:cs="宋体"/>
                <w:kern w:val="0"/>
              </w:rPr>
              <m:t>C</m:t>
            </m:r>
            <m:ctrlPr>
              <w:rPr>
                <w:rFonts w:hint="eastAsia" w:ascii="Cambria Math" w:hAnsi="Cambria Math" w:cs="宋体"/>
                <w:kern w:val="0"/>
              </w:rPr>
            </m:ctrlPr>
          </m:e>
          <m:sub>
            <m:r>
              <m:rPr>
                <m:sty m:val="p"/>
              </m:rPr>
              <w:rPr>
                <w:rFonts w:hint="eastAsia" w:ascii="Cambria Math" w:hAnsi="Cambria Math" w:cs="宋体"/>
                <w:kern w:val="0"/>
              </w:rPr>
              <m:t>3</m:t>
            </m:r>
            <m:ctrlPr>
              <w:rPr>
                <w:rFonts w:hint="eastAsia" w:ascii="Cambria Math" w:hAnsi="Cambria Math" w:cs="宋体"/>
                <w:kern w:val="0"/>
              </w:rPr>
            </m:ctrlPr>
          </m:sub>
        </m:sSub>
      </m:oMath>
      <w:r>
        <w:rPr>
          <w:rFonts w:hint="eastAsia" w:ascii="宋体" w:hAnsi="宋体" w:cs="宋体"/>
          <w:kern w:val="0"/>
        </w:rPr>
        <w:t>=</w:t>
      </w:r>
      <m:oMath>
        <m:sSub>
          <m:sSubPr>
            <m:ctrlPr>
              <w:rPr>
                <w:rFonts w:hint="eastAsia" w:ascii="Cambria Math" w:hAnsi="Cambria Math" w:cs="宋体"/>
                <w:kern w:val="0"/>
              </w:rPr>
            </m:ctrlPr>
          </m:sSubPr>
          <m:e>
            <m:r>
              <m:rPr/>
              <w:rPr>
                <w:rFonts w:hint="eastAsia" w:ascii="Cambria Math" w:hAnsi="Cambria Math" w:cs="宋体"/>
                <w:kern w:val="0"/>
              </w:rPr>
              <m:t>E</m:t>
            </m:r>
            <m:ctrlPr>
              <w:rPr>
                <w:rFonts w:hint="eastAsia" w:ascii="Cambria Math" w:hAnsi="Cambria Math" w:cs="宋体"/>
                <w:kern w:val="0"/>
              </w:rPr>
            </m:ctrlPr>
          </m:e>
          <m:sub>
            <m:r>
              <m:rPr/>
              <w:rPr>
                <w:rFonts w:hint="eastAsia" w:ascii="Cambria Math" w:hAnsi="Cambria Math" w:cs="宋体"/>
                <w:kern w:val="0"/>
              </w:rPr>
              <m:t>燃料</m:t>
            </m:r>
            <m:ctrlPr>
              <w:rPr>
                <w:rFonts w:hint="eastAsia" w:ascii="Cambria Math" w:hAnsi="Cambria Math" w:cs="宋体"/>
                <w:kern w:val="0"/>
              </w:rPr>
            </m:ctrlPr>
          </m:sub>
        </m:sSub>
        <m:r>
          <m:rPr>
            <m:sty m:val="p"/>
          </m:rPr>
          <w:rPr>
            <w:rFonts w:hint="eastAsia" w:ascii="Cambria Math" w:hAnsi="Cambria Math" w:cs="宋体"/>
            <w:kern w:val="0"/>
          </w:rPr>
          <m:t>+</m:t>
        </m:r>
        <m:sSub>
          <m:sSubPr>
            <m:ctrlPr>
              <w:rPr>
                <w:rFonts w:hint="eastAsia" w:ascii="Cambria Math" w:hAnsi="Cambria Math" w:cs="宋体"/>
                <w:kern w:val="0"/>
              </w:rPr>
            </m:ctrlPr>
          </m:sSubPr>
          <m:e>
            <m:r>
              <m:rPr/>
              <w:rPr>
                <w:rFonts w:hint="eastAsia" w:ascii="Cambria Math" w:hAnsi="Cambria Math" w:cs="宋体"/>
                <w:kern w:val="0"/>
              </w:rPr>
              <m:t>E</m:t>
            </m:r>
            <m:ctrlPr>
              <w:rPr>
                <w:rFonts w:hint="eastAsia" w:ascii="Cambria Math" w:hAnsi="Cambria Math" w:cs="宋体"/>
                <w:kern w:val="0"/>
              </w:rPr>
            </m:ctrlPr>
          </m:e>
          <m:sub>
            <m:r>
              <m:rPr/>
              <w:rPr>
                <w:rFonts w:hint="eastAsia" w:ascii="Cambria Math" w:hAnsi="Cambria Math" w:cs="宋体"/>
                <w:kern w:val="0"/>
              </w:rPr>
              <m:t>电力</m:t>
            </m:r>
            <m:ctrlPr>
              <w:rPr>
                <w:rFonts w:hint="eastAsia" w:ascii="Cambria Math" w:hAnsi="Cambria Math" w:cs="宋体"/>
                <w:kern w:val="0"/>
              </w:rPr>
            </m:ctrlPr>
          </m:sub>
        </m:sSub>
        <m:r>
          <m:rPr>
            <m:sty m:val="p"/>
          </m:rPr>
          <w:rPr>
            <w:rFonts w:hint="eastAsia" w:ascii="Cambria Math" w:hAnsi="Cambria Math" w:cs="宋体"/>
            <w:kern w:val="0"/>
          </w:rPr>
          <m:t>+</m:t>
        </m:r>
        <m:sSub>
          <m:sSubPr>
            <m:ctrlPr>
              <w:rPr>
                <w:rFonts w:hint="eastAsia" w:ascii="Cambria Math" w:hAnsi="Cambria Math" w:cs="宋体"/>
                <w:kern w:val="0"/>
              </w:rPr>
            </m:ctrlPr>
          </m:sSubPr>
          <m:e>
            <m:r>
              <m:rPr/>
              <w:rPr>
                <w:rFonts w:hint="eastAsia" w:ascii="Cambria Math" w:hAnsi="Cambria Math" w:cs="宋体"/>
                <w:kern w:val="0"/>
              </w:rPr>
              <m:t>E</m:t>
            </m:r>
            <m:ctrlPr>
              <w:rPr>
                <w:rFonts w:hint="eastAsia" w:ascii="Cambria Math" w:hAnsi="Cambria Math" w:cs="宋体"/>
                <w:kern w:val="0"/>
              </w:rPr>
            </m:ctrlPr>
          </m:e>
          <m:sub>
            <m:r>
              <m:rPr/>
              <w:rPr>
                <w:rFonts w:hint="eastAsia" w:ascii="Cambria Math" w:hAnsi="Cambria Math" w:cs="宋体"/>
                <w:kern w:val="0"/>
              </w:rPr>
              <m:t>热力</m:t>
            </m:r>
            <m:ctrlPr>
              <w:rPr>
                <w:rFonts w:hint="eastAsia" w:ascii="Cambria Math" w:hAnsi="Cambria Math" w:cs="宋体"/>
                <w:kern w:val="0"/>
              </w:rPr>
            </m:ctrlPr>
          </m:sub>
        </m:sSub>
        <m:r>
          <m:rPr>
            <m:sty m:val="p"/>
          </m:rPr>
          <w:rPr>
            <w:rFonts w:hint="eastAsia" w:ascii="Cambria Math" w:hAnsi="Cambria Math" w:cs="宋体"/>
            <w:kern w:val="0"/>
          </w:rPr>
          <m:t>+</m:t>
        </m:r>
        <m:sSub>
          <m:sSubPr>
            <m:ctrlPr>
              <w:rPr>
                <w:rFonts w:hint="eastAsia" w:ascii="Cambria Math" w:hAnsi="Cambria Math" w:cs="宋体"/>
                <w:kern w:val="0"/>
              </w:rPr>
            </m:ctrlPr>
          </m:sSubPr>
          <m:e>
            <m:r>
              <m:rPr/>
              <w:rPr>
                <w:rFonts w:hint="eastAsia" w:ascii="Cambria Math" w:hAnsi="Cambria Math" w:cs="宋体"/>
                <w:kern w:val="0"/>
              </w:rPr>
              <m:t>E</m:t>
            </m:r>
            <m:ctrlPr>
              <w:rPr>
                <w:rFonts w:hint="eastAsia" w:ascii="Cambria Math" w:hAnsi="Cambria Math" w:cs="宋体"/>
                <w:kern w:val="0"/>
              </w:rPr>
            </m:ctrlPr>
          </m:e>
          <m:sub>
            <m:r>
              <m:rPr/>
              <w:rPr>
                <w:rFonts w:hint="eastAsia" w:ascii="Cambria Math" w:hAnsi="Cambria Math" w:cs="宋体"/>
                <w:kern w:val="0"/>
              </w:rPr>
              <m:t>水</m:t>
            </m:r>
            <m:ctrlPr>
              <w:rPr>
                <w:rFonts w:hint="eastAsia" w:ascii="Cambria Math" w:hAnsi="Cambria Math" w:cs="宋体"/>
                <w:kern w:val="0"/>
              </w:rPr>
            </m:ctrlPr>
          </m:sub>
        </m:sSub>
      </m:oMath>
      <w:r>
        <w:rPr>
          <w:rFonts w:hint="eastAsia" w:ascii="宋体" w:hAnsi="宋体" w:cs="宋体"/>
          <w:kern w:val="0"/>
        </w:rPr>
        <w:tab/>
      </w:r>
      <w:r>
        <w:rPr>
          <w:rFonts w:hint="eastAsia" w:ascii="宋体" w:hAnsi="宋体" w:cs="宋体"/>
          <w:kern w:val="0"/>
        </w:rPr>
        <w:t xml:space="preserve"> </w:t>
      </w:r>
      <w:r>
        <w:rPr>
          <w:rFonts w:ascii="宋体" w:hAnsi="宋体" w:cs="宋体"/>
          <w:kern w:val="0"/>
        </w:rPr>
        <w:t xml:space="preserve">                       </w:t>
      </w:r>
      <w:r>
        <w:rPr>
          <w:rFonts w:hint="eastAsia" w:ascii="宋体" w:hAnsi="宋体" w:cs="宋体"/>
          <w:kern w:val="0"/>
        </w:rPr>
        <w:t xml:space="preserve"> （</w:t>
      </w:r>
      <w:r>
        <w:rPr>
          <w:rFonts w:ascii="宋体" w:hAnsi="宋体" w:cs="宋体"/>
          <w:bCs/>
          <w:kern w:val="0"/>
        </w:rPr>
        <w:t>4</w:t>
      </w:r>
      <w:r>
        <w:rPr>
          <w:rFonts w:hint="eastAsia" w:ascii="宋体" w:hAnsi="宋体" w:cs="宋体"/>
          <w:kern w:val="0"/>
        </w:rPr>
        <w:t>）</w:t>
      </w:r>
    </w:p>
    <w:p>
      <w:pPr>
        <w:keepNext w:val="0"/>
        <w:keepLines w:val="0"/>
        <w:pageBreakBefore w:val="0"/>
        <w:widowControl/>
        <w:numPr>
          <w:ilvl w:val="255"/>
          <w:numId w:val="0"/>
        </w:numPr>
        <w:kinsoku/>
        <w:wordWrap/>
        <w:overflowPunct/>
        <w:topLinePunct w:val="0"/>
        <w:autoSpaceDE/>
        <w:autoSpaceDN/>
        <w:bidi w:val="0"/>
        <w:adjustRightInd/>
        <w:snapToGrid/>
        <w:spacing w:line="240" w:lineRule="auto"/>
        <w:ind w:firstLine="420" w:firstLineChars="200"/>
        <w:jc w:val="left"/>
        <w:textAlignment w:val="auto"/>
        <w:rPr>
          <w:rFonts w:ascii="宋体" w:hAnsi="宋体" w:cs="宋体"/>
          <w:kern w:val="0"/>
        </w:rPr>
      </w:pPr>
      <w:r>
        <w:rPr>
          <w:rFonts w:hint="eastAsia" w:ascii="宋体" w:hAnsi="宋体" w:cs="宋体"/>
          <w:kern w:val="0"/>
        </w:rPr>
        <w:t>式中：</w:t>
      </w:r>
    </w:p>
    <w:p>
      <w:pPr>
        <w:keepNext w:val="0"/>
        <w:keepLines w:val="0"/>
        <w:pageBreakBefore w:val="0"/>
        <w:widowControl/>
        <w:numPr>
          <w:ilvl w:val="255"/>
          <w:numId w:val="0"/>
        </w:numPr>
        <w:kinsoku/>
        <w:wordWrap/>
        <w:overflowPunct/>
        <w:topLinePunct w:val="0"/>
        <w:autoSpaceDE/>
        <w:autoSpaceDN/>
        <w:bidi w:val="0"/>
        <w:adjustRightInd/>
        <w:snapToGrid/>
        <w:spacing w:line="240" w:lineRule="auto"/>
        <w:ind w:firstLine="420" w:firstLineChars="200"/>
        <w:jc w:val="left"/>
        <w:textAlignment w:val="auto"/>
        <w:rPr>
          <w:rFonts w:ascii="宋体" w:hAnsi="宋体" w:cs="宋体"/>
          <w:kern w:val="0"/>
        </w:rPr>
      </w:pPr>
      <m:oMath>
        <m:sSub>
          <m:sSubPr>
            <m:ctrlPr>
              <w:rPr>
                <w:rFonts w:hint="eastAsia" w:ascii="Cambria Math" w:hAnsi="Cambria Math" w:cs="宋体"/>
                <w:bCs/>
                <w:kern w:val="0"/>
              </w:rPr>
            </m:ctrlPr>
          </m:sSubPr>
          <m:e>
            <m:r>
              <m:rPr/>
              <w:rPr>
                <w:rFonts w:hint="eastAsia" w:ascii="Cambria Math" w:hAnsi="Cambria Math" w:cs="宋体"/>
                <w:kern w:val="0"/>
              </w:rPr>
              <m:t>E</m:t>
            </m:r>
            <m:ctrlPr>
              <w:rPr>
                <w:rFonts w:hint="eastAsia" w:ascii="Cambria Math" w:hAnsi="Cambria Math" w:cs="宋体"/>
                <w:bCs/>
                <w:kern w:val="0"/>
              </w:rPr>
            </m:ctrlPr>
          </m:e>
          <m:sub>
            <m:r>
              <m:rPr/>
              <w:rPr>
                <w:rFonts w:hint="eastAsia" w:ascii="Cambria Math" w:hAnsi="Cambria Math" w:cs="宋体"/>
                <w:kern w:val="0"/>
              </w:rPr>
              <m:t>燃料</m:t>
            </m:r>
            <m:ctrlPr>
              <w:rPr>
                <w:rFonts w:hint="eastAsia" w:ascii="Cambria Math" w:hAnsi="Cambria Math" w:cs="宋体"/>
                <w:bCs/>
                <w:kern w:val="0"/>
              </w:rPr>
            </m:ctrlPr>
          </m:sub>
        </m:sSub>
      </m:oMath>
      <w:r>
        <w:rPr>
          <w:rFonts w:hint="eastAsia" w:ascii="宋体" w:hAnsi="宋体" w:cs="宋体"/>
          <w:kern w:val="0"/>
        </w:rPr>
        <w:t>——</w:t>
      </w:r>
      <w:r>
        <w:rPr>
          <w:rFonts w:hint="eastAsia" w:ascii="宋体" w:hAnsi="宋体" w:cs="宋体"/>
          <w:bCs/>
          <w:kern w:val="0"/>
        </w:rPr>
        <w:t>每立方米</w:t>
      </w:r>
      <w:r>
        <w:rPr>
          <w:rFonts w:hint="eastAsia" w:ascii="宋体" w:hAnsi="宋体" w:cs="宋体"/>
          <w:kern w:val="0"/>
        </w:rPr>
        <w:t>预拌混凝土生产过程中因消耗化石燃料而产生的碳排放</w:t>
      </w:r>
      <w:r>
        <w:rPr>
          <w:rFonts w:hint="eastAsia" w:ascii="宋体" w:hAnsi="宋体" w:cs="宋体"/>
          <w:kern w:val="0"/>
          <w:lang w:val="en-US" w:eastAsia="zh-CN"/>
        </w:rPr>
        <w:t>量</w:t>
      </w:r>
      <w:r>
        <w:rPr>
          <w:rFonts w:hint="eastAsia" w:ascii="宋体" w:hAnsi="宋体" w:cs="宋体"/>
          <w:kern w:val="0"/>
        </w:rPr>
        <w:t>；</w:t>
      </w:r>
    </w:p>
    <w:p>
      <w:pPr>
        <w:keepNext w:val="0"/>
        <w:keepLines w:val="0"/>
        <w:pageBreakBefore w:val="0"/>
        <w:widowControl/>
        <w:numPr>
          <w:ilvl w:val="255"/>
          <w:numId w:val="0"/>
        </w:numPr>
        <w:kinsoku/>
        <w:wordWrap/>
        <w:overflowPunct/>
        <w:topLinePunct w:val="0"/>
        <w:autoSpaceDE/>
        <w:autoSpaceDN/>
        <w:bidi w:val="0"/>
        <w:adjustRightInd/>
        <w:snapToGrid/>
        <w:spacing w:line="240" w:lineRule="auto"/>
        <w:ind w:firstLine="420" w:firstLineChars="200"/>
        <w:jc w:val="left"/>
        <w:textAlignment w:val="auto"/>
        <w:rPr>
          <w:rFonts w:ascii="宋体" w:hAnsi="宋体" w:cs="宋体"/>
          <w:bCs/>
          <w:kern w:val="0"/>
        </w:rPr>
      </w:pPr>
      <m:oMath>
        <m:sSub>
          <m:sSubPr>
            <m:ctrlPr>
              <w:rPr>
                <w:rFonts w:hint="eastAsia" w:ascii="Cambria Math" w:hAnsi="Cambria Math" w:cs="宋体"/>
                <w:bCs/>
                <w:kern w:val="0"/>
              </w:rPr>
            </m:ctrlPr>
          </m:sSubPr>
          <m:e>
            <m:r>
              <m:rPr/>
              <w:rPr>
                <w:rFonts w:hint="eastAsia" w:ascii="Cambria Math" w:hAnsi="Cambria Math" w:cs="宋体"/>
                <w:kern w:val="0"/>
              </w:rPr>
              <m:t>E</m:t>
            </m:r>
            <m:ctrlPr>
              <w:rPr>
                <w:rFonts w:hint="eastAsia" w:ascii="Cambria Math" w:hAnsi="Cambria Math" w:cs="宋体"/>
                <w:bCs/>
                <w:kern w:val="0"/>
              </w:rPr>
            </m:ctrlPr>
          </m:e>
          <m:sub>
            <m:r>
              <m:rPr/>
              <w:rPr>
                <w:rFonts w:hint="eastAsia" w:ascii="Cambria Math" w:hAnsi="Cambria Math" w:cs="宋体"/>
                <w:kern w:val="0"/>
              </w:rPr>
              <m:t>电力</m:t>
            </m:r>
            <m:ctrlPr>
              <w:rPr>
                <w:rFonts w:hint="eastAsia" w:ascii="Cambria Math" w:hAnsi="Cambria Math" w:cs="宋体"/>
                <w:bCs/>
                <w:kern w:val="0"/>
              </w:rPr>
            </m:ctrlPr>
          </m:sub>
        </m:sSub>
      </m:oMath>
      <w:r>
        <w:rPr>
          <w:rFonts w:hint="eastAsia" w:ascii="宋体" w:hAnsi="宋体" w:cs="宋体"/>
          <w:bCs/>
          <w:kern w:val="0"/>
        </w:rPr>
        <w:t>——</w:t>
      </w:r>
      <w:r>
        <w:rPr>
          <w:rFonts w:hint="eastAsia" w:ascii="宋体" w:hAnsi="宋体" w:cs="宋体"/>
          <w:kern w:val="0"/>
        </w:rPr>
        <w:t>每立方米预拌混凝土生产过程中因</w:t>
      </w:r>
      <w:r>
        <w:rPr>
          <w:rFonts w:hint="eastAsia" w:ascii="宋体" w:hAnsi="宋体" w:cs="宋体"/>
          <w:bCs/>
          <w:kern w:val="0"/>
        </w:rPr>
        <w:t>消耗电力</w:t>
      </w:r>
      <w:r>
        <w:rPr>
          <w:rFonts w:hint="eastAsia" w:ascii="宋体" w:hAnsi="宋体" w:cs="宋体"/>
          <w:kern w:val="0"/>
        </w:rPr>
        <w:t>而产生</w:t>
      </w:r>
      <w:r>
        <w:rPr>
          <w:rFonts w:hint="eastAsia" w:ascii="宋体" w:hAnsi="宋体" w:cs="宋体"/>
          <w:bCs/>
          <w:kern w:val="0"/>
        </w:rPr>
        <w:t>的碳排放</w:t>
      </w:r>
      <w:r>
        <w:rPr>
          <w:rFonts w:hint="eastAsia" w:ascii="宋体" w:hAnsi="宋体" w:cs="宋体"/>
          <w:kern w:val="0"/>
          <w:lang w:val="en-US" w:eastAsia="zh-CN"/>
        </w:rPr>
        <w:t>量</w:t>
      </w:r>
      <w:r>
        <w:rPr>
          <w:rFonts w:hint="eastAsia" w:ascii="宋体" w:hAnsi="宋体" w:cs="宋体"/>
          <w:bCs/>
          <w:kern w:val="0"/>
        </w:rPr>
        <w:t>；</w:t>
      </w:r>
    </w:p>
    <w:p>
      <w:pPr>
        <w:keepNext w:val="0"/>
        <w:keepLines w:val="0"/>
        <w:pageBreakBefore w:val="0"/>
        <w:widowControl/>
        <w:numPr>
          <w:ilvl w:val="255"/>
          <w:numId w:val="0"/>
        </w:numPr>
        <w:kinsoku/>
        <w:wordWrap/>
        <w:overflowPunct/>
        <w:topLinePunct w:val="0"/>
        <w:autoSpaceDE/>
        <w:autoSpaceDN/>
        <w:bidi w:val="0"/>
        <w:adjustRightInd/>
        <w:snapToGrid/>
        <w:spacing w:line="240" w:lineRule="auto"/>
        <w:ind w:firstLine="420" w:firstLineChars="200"/>
        <w:jc w:val="left"/>
        <w:textAlignment w:val="auto"/>
        <w:rPr>
          <w:rFonts w:ascii="宋体" w:hAnsi="宋体" w:cs="宋体"/>
          <w:kern w:val="0"/>
        </w:rPr>
      </w:pPr>
      <m:oMath>
        <m:sSub>
          <m:sSubPr>
            <m:ctrlPr>
              <w:rPr>
                <w:rFonts w:hint="eastAsia" w:ascii="Cambria Math" w:hAnsi="Cambria Math" w:cs="宋体"/>
                <w:i/>
                <w:kern w:val="0"/>
              </w:rPr>
            </m:ctrlPr>
          </m:sSubPr>
          <m:e>
            <m:r>
              <m:rPr/>
              <w:rPr>
                <w:rFonts w:hint="eastAsia" w:ascii="Cambria Math" w:hAnsi="Cambria Math" w:cs="宋体"/>
                <w:kern w:val="0"/>
              </w:rPr>
              <m:t>E</m:t>
            </m:r>
            <m:ctrlPr>
              <w:rPr>
                <w:rFonts w:hint="eastAsia" w:ascii="Cambria Math" w:hAnsi="Cambria Math" w:cs="宋体"/>
                <w:i/>
                <w:kern w:val="0"/>
              </w:rPr>
            </m:ctrlPr>
          </m:e>
          <m:sub>
            <m:r>
              <m:rPr/>
              <w:rPr>
                <w:rFonts w:hint="eastAsia" w:ascii="Cambria Math" w:hAnsi="Cambria Math" w:cs="宋体"/>
                <w:kern w:val="0"/>
              </w:rPr>
              <m:t>热力</m:t>
            </m:r>
            <m:ctrlPr>
              <w:rPr>
                <w:rFonts w:hint="eastAsia" w:ascii="Cambria Math" w:hAnsi="Cambria Math" w:cs="宋体"/>
                <w:i/>
                <w:kern w:val="0"/>
              </w:rPr>
            </m:ctrlPr>
          </m:sub>
        </m:sSub>
      </m:oMath>
      <w:r>
        <w:rPr>
          <w:rFonts w:hint="eastAsia" w:ascii="宋体" w:hAnsi="宋体" w:cs="宋体"/>
          <w:kern w:val="0"/>
        </w:rPr>
        <w:t>——每立方米预拌混凝土生产过程中因</w:t>
      </w:r>
      <w:r>
        <w:rPr>
          <w:rFonts w:hint="eastAsia" w:ascii="宋体" w:hAnsi="宋体" w:cs="宋体"/>
          <w:bCs/>
          <w:kern w:val="0"/>
        </w:rPr>
        <w:t>消耗</w:t>
      </w:r>
      <w:r>
        <w:rPr>
          <w:rFonts w:hint="eastAsia" w:ascii="宋体" w:hAnsi="宋体" w:cs="宋体"/>
          <w:kern w:val="0"/>
        </w:rPr>
        <w:t>热力而产生的</w:t>
      </w:r>
      <w:r>
        <w:rPr>
          <w:rFonts w:hint="eastAsia" w:ascii="宋体" w:hAnsi="宋体" w:cs="宋体"/>
          <w:bCs/>
          <w:kern w:val="0"/>
        </w:rPr>
        <w:t>碳排放</w:t>
      </w:r>
      <w:r>
        <w:rPr>
          <w:rFonts w:hint="eastAsia" w:ascii="宋体" w:hAnsi="宋体" w:cs="宋体"/>
          <w:kern w:val="0"/>
          <w:lang w:val="en-US" w:eastAsia="zh-CN"/>
        </w:rPr>
        <w:t>量</w:t>
      </w:r>
      <w:r>
        <w:rPr>
          <w:rFonts w:hint="eastAsia" w:ascii="宋体" w:hAnsi="宋体" w:cs="宋体"/>
          <w:bCs/>
          <w:kern w:val="0"/>
        </w:rPr>
        <w:t>；</w:t>
      </w:r>
    </w:p>
    <w:p>
      <w:pPr>
        <w:keepNext w:val="0"/>
        <w:keepLines w:val="0"/>
        <w:pageBreakBefore w:val="0"/>
        <w:widowControl/>
        <w:numPr>
          <w:ilvl w:val="255"/>
          <w:numId w:val="0"/>
        </w:numPr>
        <w:kinsoku/>
        <w:wordWrap/>
        <w:overflowPunct/>
        <w:topLinePunct w:val="0"/>
        <w:autoSpaceDE/>
        <w:autoSpaceDN/>
        <w:bidi w:val="0"/>
        <w:adjustRightInd/>
        <w:snapToGrid/>
        <w:spacing w:line="240" w:lineRule="auto"/>
        <w:ind w:firstLine="420" w:firstLineChars="200"/>
        <w:jc w:val="left"/>
        <w:textAlignment w:val="auto"/>
        <w:rPr>
          <w:rFonts w:ascii="宋体" w:hAnsi="宋体" w:cs="宋体"/>
          <w:bCs/>
          <w:kern w:val="0"/>
        </w:rPr>
      </w:pPr>
      <m:oMath>
        <m:sSub>
          <m:sSubPr>
            <m:ctrlPr>
              <w:rPr>
                <w:rFonts w:hint="eastAsia" w:ascii="Cambria Math" w:hAnsi="Cambria Math" w:cs="宋体"/>
                <w:bCs/>
                <w:kern w:val="0"/>
              </w:rPr>
            </m:ctrlPr>
          </m:sSubPr>
          <m:e>
            <m:r>
              <m:rPr/>
              <w:rPr>
                <w:rFonts w:hint="eastAsia" w:ascii="Cambria Math" w:hAnsi="Cambria Math" w:cs="宋体"/>
                <w:kern w:val="0"/>
              </w:rPr>
              <m:t>E</m:t>
            </m:r>
            <m:ctrlPr>
              <w:rPr>
                <w:rFonts w:hint="eastAsia" w:ascii="Cambria Math" w:hAnsi="Cambria Math" w:cs="宋体"/>
                <w:bCs/>
                <w:kern w:val="0"/>
              </w:rPr>
            </m:ctrlPr>
          </m:e>
          <m:sub>
            <m:r>
              <m:rPr/>
              <w:rPr>
                <w:rFonts w:hint="eastAsia" w:ascii="Cambria Math" w:hAnsi="Cambria Math" w:cs="宋体"/>
                <w:kern w:val="0"/>
              </w:rPr>
              <m:t>水</m:t>
            </m:r>
            <m:ctrlPr>
              <w:rPr>
                <w:rFonts w:hint="eastAsia" w:ascii="Cambria Math" w:hAnsi="Cambria Math" w:cs="宋体"/>
                <w:bCs/>
                <w:kern w:val="0"/>
              </w:rPr>
            </m:ctrlPr>
          </m:sub>
        </m:sSub>
      </m:oMath>
      <w:r>
        <w:rPr>
          <w:rFonts w:hint="eastAsia" w:ascii="宋体" w:hAnsi="宋体" w:cs="宋体"/>
          <w:bCs/>
          <w:kern w:val="0"/>
        </w:rPr>
        <w:t>——</w:t>
      </w:r>
      <w:r>
        <w:rPr>
          <w:rFonts w:hint="eastAsia" w:ascii="宋体" w:hAnsi="宋体" w:cs="宋体"/>
          <w:kern w:val="0"/>
        </w:rPr>
        <w:t>每立方米预拌混凝土生产过程中因</w:t>
      </w:r>
      <w:r>
        <w:rPr>
          <w:rFonts w:hint="eastAsia" w:ascii="宋体" w:hAnsi="宋体" w:cs="宋体"/>
          <w:bCs/>
          <w:kern w:val="0"/>
        </w:rPr>
        <w:t>消耗水而产生的碳排放</w:t>
      </w:r>
      <w:r>
        <w:rPr>
          <w:rFonts w:hint="eastAsia" w:ascii="宋体" w:hAnsi="宋体" w:cs="宋体"/>
          <w:kern w:val="0"/>
          <w:lang w:val="en-US" w:eastAsia="zh-CN"/>
        </w:rPr>
        <w:t>量</w:t>
      </w:r>
      <w:r>
        <w:rPr>
          <w:rFonts w:hint="eastAsia" w:ascii="宋体" w:hAnsi="宋体" w:cs="宋体"/>
          <w:bCs/>
          <w:kern w:val="0"/>
        </w:rPr>
        <w:t>。</w:t>
      </w:r>
    </w:p>
    <w:p>
      <w:pPr>
        <w:pStyle w:val="213"/>
        <w:keepNext w:val="0"/>
        <w:keepLines w:val="0"/>
        <w:pageBreakBefore w:val="0"/>
        <w:kinsoku/>
        <w:wordWrap/>
        <w:overflowPunct/>
        <w:topLinePunct w:val="0"/>
        <w:autoSpaceDE/>
        <w:autoSpaceDN/>
        <w:bidi w:val="0"/>
        <w:adjustRightInd/>
        <w:snapToGrid/>
        <w:spacing w:line="240" w:lineRule="auto"/>
        <w:textAlignment w:val="auto"/>
        <w:rPr>
          <w:rFonts w:ascii="宋体" w:hAnsi="宋体" w:cs="宋体"/>
          <w:bCs/>
          <w:kern w:val="0"/>
        </w:rPr>
      </w:pPr>
      <w:r>
        <w:rPr>
          <w:rFonts w:hint="eastAsia" w:ascii="宋体" w:hAnsi="宋体" w:cs="宋体"/>
          <w:bCs/>
          <w:kern w:val="0"/>
        </w:rPr>
        <w:t>化石燃料燃烧、电力和热力以及水产生的碳排放量具体计算方法如下：</w:t>
      </w:r>
    </w:p>
    <w:p>
      <w:pPr>
        <w:keepNext w:val="0"/>
        <w:keepLines w:val="0"/>
        <w:pageBreakBefore w:val="0"/>
        <w:widowControl/>
        <w:numPr>
          <w:ilvl w:val="255"/>
          <w:numId w:val="0"/>
        </w:numPr>
        <w:kinsoku/>
        <w:wordWrap/>
        <w:overflowPunct/>
        <w:topLinePunct w:val="0"/>
        <w:autoSpaceDE/>
        <w:autoSpaceDN/>
        <w:bidi w:val="0"/>
        <w:adjustRightInd/>
        <w:snapToGrid/>
        <w:spacing w:line="240" w:lineRule="auto"/>
        <w:ind w:left="426" w:hanging="426" w:hangingChars="202"/>
        <w:jc w:val="left"/>
        <w:textAlignment w:val="auto"/>
        <w:rPr>
          <w:rFonts w:ascii="宋体" w:hAnsi="宋体" w:cs="宋体"/>
          <w:bCs/>
          <w:kern w:val="0"/>
        </w:rPr>
      </w:pPr>
      <w:r>
        <w:rPr>
          <w:rFonts w:ascii="宋体" w:hAnsi="宋体" w:cs="宋体"/>
          <w:b/>
          <w:bCs/>
          <w:kern w:val="0"/>
        </w:rPr>
        <w:t>B</w:t>
      </w:r>
      <w:r>
        <w:rPr>
          <w:rFonts w:hint="eastAsia" w:ascii="宋体" w:hAnsi="宋体" w:cs="宋体"/>
          <w:b/>
          <w:bCs/>
          <w:kern w:val="0"/>
        </w:rPr>
        <w:t>.</w:t>
      </w:r>
      <w:r>
        <w:rPr>
          <w:rFonts w:hint="eastAsia" w:ascii="宋体" w:hAnsi="宋体" w:cs="宋体"/>
          <w:b/>
          <w:bCs/>
          <w:kern w:val="0"/>
          <w:lang w:val="en-US" w:eastAsia="zh-CN"/>
        </w:rPr>
        <w:t>5</w:t>
      </w:r>
      <w:r>
        <w:rPr>
          <w:rFonts w:ascii="宋体" w:hAnsi="宋体" w:cs="宋体"/>
          <w:b/>
          <w:bCs/>
          <w:kern w:val="0"/>
        </w:rPr>
        <w:t xml:space="preserve">.1 </w:t>
      </w:r>
      <w:r>
        <w:rPr>
          <w:rFonts w:hint="eastAsia" w:ascii="宋体" w:hAnsi="宋体" w:cs="宋体"/>
          <w:kern w:val="0"/>
        </w:rPr>
        <w:t>化石燃料燃烧产生的碳排放量</w:t>
      </w:r>
      <w:r>
        <w:rPr>
          <w:rFonts w:hint="eastAsia" w:ascii="宋体" w:hAnsi="宋体" w:cs="宋体"/>
          <w:bCs/>
          <w:kern w:val="0"/>
        </w:rPr>
        <w:t>应按下</w:t>
      </w:r>
      <w:r>
        <w:rPr>
          <w:rFonts w:hint="eastAsia" w:ascii="宋体" w:hAnsi="宋体" w:cs="宋体"/>
          <w:bCs/>
          <w:kern w:val="0"/>
          <w:lang w:val="en-US" w:eastAsia="zh-CN"/>
        </w:rPr>
        <w:t>列公</w:t>
      </w:r>
      <w:r>
        <w:rPr>
          <w:rFonts w:hint="eastAsia" w:ascii="宋体" w:hAnsi="宋体" w:cs="宋体"/>
          <w:bCs/>
          <w:kern w:val="0"/>
        </w:rPr>
        <w:t>式计算：</w:t>
      </w:r>
    </w:p>
    <w:p>
      <w:pPr>
        <w:keepNext w:val="0"/>
        <w:keepLines w:val="0"/>
        <w:pageBreakBefore w:val="0"/>
        <w:widowControl/>
        <w:numPr>
          <w:ilvl w:val="255"/>
          <w:numId w:val="0"/>
        </w:numPr>
        <w:tabs>
          <w:tab w:val="center" w:pos="4150"/>
          <w:tab w:val="right" w:pos="8301"/>
        </w:tabs>
        <w:kinsoku/>
        <w:wordWrap/>
        <w:overflowPunct/>
        <w:topLinePunct w:val="0"/>
        <w:autoSpaceDE/>
        <w:autoSpaceDN/>
        <w:bidi w:val="0"/>
        <w:adjustRightInd/>
        <w:snapToGrid/>
        <w:spacing w:line="240" w:lineRule="auto"/>
        <w:ind w:left="851" w:hanging="426"/>
        <w:jc w:val="right"/>
        <w:textAlignment w:val="auto"/>
        <w:rPr>
          <w:rFonts w:ascii="宋体" w:hAnsi="宋体" w:cs="宋体"/>
          <w:kern w:val="0"/>
        </w:rPr>
      </w:pPr>
      <w:r>
        <w:rPr>
          <w:rFonts w:hint="eastAsia" w:ascii="宋体" w:hAnsi="宋体" w:cs="宋体"/>
          <w:bCs/>
          <w:kern w:val="0"/>
        </w:rPr>
        <w:tab/>
      </w:r>
      <m:oMath>
        <m:sSub>
          <m:sSubPr>
            <m:ctrlPr>
              <w:rPr>
                <w:rFonts w:hint="eastAsia" w:ascii="Cambria Math" w:hAnsi="Cambria Math" w:cs="宋体"/>
                <w:bCs/>
                <w:kern w:val="0"/>
              </w:rPr>
            </m:ctrlPr>
          </m:sSubPr>
          <m:e>
            <m:r>
              <m:rPr/>
              <w:rPr>
                <w:rFonts w:hint="eastAsia" w:ascii="Cambria Math" w:hAnsi="Cambria Math" w:cs="宋体"/>
                <w:kern w:val="0"/>
              </w:rPr>
              <m:t>E</m:t>
            </m:r>
            <m:ctrlPr>
              <w:rPr>
                <w:rFonts w:hint="eastAsia" w:ascii="Cambria Math" w:hAnsi="Cambria Math" w:cs="宋体"/>
                <w:bCs/>
                <w:kern w:val="0"/>
              </w:rPr>
            </m:ctrlPr>
          </m:e>
          <m:sub>
            <m:r>
              <m:rPr/>
              <w:rPr>
                <w:rFonts w:hint="eastAsia" w:ascii="Cambria Math" w:hAnsi="Cambria Math" w:cs="宋体"/>
                <w:kern w:val="0"/>
              </w:rPr>
              <m:t>燃料</m:t>
            </m:r>
            <m:ctrlPr>
              <w:rPr>
                <w:rFonts w:hint="eastAsia" w:ascii="Cambria Math" w:hAnsi="Cambria Math" w:cs="宋体"/>
                <w:bCs/>
                <w:kern w:val="0"/>
              </w:rPr>
            </m:ctrlPr>
          </m:sub>
        </m:sSub>
        <m:r>
          <m:rPr>
            <m:sty m:val="p"/>
          </m:rPr>
          <w:rPr>
            <w:rFonts w:hint="eastAsia" w:ascii="Cambria Math" w:hAnsi="Cambria Math" w:cs="宋体"/>
            <w:kern w:val="0"/>
          </w:rPr>
          <m:t>=</m:t>
        </m:r>
        <m:nary>
          <m:naryPr>
            <m:chr m:val="∑"/>
            <m:limLoc m:val="subSup"/>
            <m:ctrlPr>
              <w:rPr>
                <w:rFonts w:hint="eastAsia" w:ascii="Cambria Math" w:hAnsi="Cambria Math" w:cs="宋体"/>
                <w:bCs/>
                <w:kern w:val="0"/>
              </w:rPr>
            </m:ctrlPr>
          </m:naryPr>
          <m:sub>
            <m:r>
              <m:rPr/>
              <w:rPr>
                <w:rFonts w:hint="eastAsia" w:ascii="Cambria Math" w:hAnsi="Cambria Math" w:cs="宋体"/>
                <w:kern w:val="0"/>
              </w:rPr>
              <m:t>i</m:t>
            </m:r>
            <m:r>
              <m:rPr>
                <m:sty m:val="p"/>
              </m:rPr>
              <w:rPr>
                <w:rFonts w:hint="eastAsia" w:ascii="Cambria Math" w:hAnsi="Cambria Math" w:cs="宋体"/>
                <w:kern w:val="0"/>
              </w:rPr>
              <m:t>=1</m:t>
            </m:r>
            <m:ctrlPr>
              <w:rPr>
                <w:rFonts w:hint="eastAsia" w:ascii="Cambria Math" w:hAnsi="Cambria Math" w:cs="宋体"/>
                <w:bCs/>
                <w:kern w:val="0"/>
              </w:rPr>
            </m:ctrlPr>
          </m:sub>
          <m:sup>
            <m:r>
              <m:rPr/>
              <w:rPr>
                <w:rFonts w:hint="eastAsia" w:ascii="Cambria Math" w:hAnsi="Cambria Math" w:cs="宋体"/>
                <w:kern w:val="0"/>
              </w:rPr>
              <m:t>n</m:t>
            </m:r>
            <m:ctrlPr>
              <w:rPr>
                <w:rFonts w:hint="eastAsia" w:ascii="Cambria Math" w:hAnsi="Cambria Math" w:cs="宋体"/>
                <w:bCs/>
                <w:kern w:val="0"/>
              </w:rPr>
            </m:ctrlPr>
          </m:sup>
          <m:e>
            <m:r>
              <m:rPr>
                <m:sty m:val="p"/>
              </m:rPr>
              <w:rPr>
                <w:rFonts w:hint="eastAsia" w:ascii="Cambria Math" w:hAnsi="Cambria Math" w:cs="宋体"/>
                <w:kern w:val="0"/>
              </w:rPr>
              <m:t>（</m:t>
            </m:r>
            <m:sSub>
              <m:sSubPr>
                <m:ctrlPr>
                  <w:rPr>
                    <w:rFonts w:hint="eastAsia" w:ascii="Cambria Math" w:hAnsi="Cambria Math" w:cs="宋体"/>
                    <w:bCs/>
                    <w:kern w:val="0"/>
                  </w:rPr>
                </m:ctrlPr>
              </m:sSubPr>
              <m:e>
                <m:r>
                  <m:rPr/>
                  <w:rPr>
                    <w:rFonts w:hint="eastAsia" w:ascii="Cambria Math" w:hAnsi="Cambria Math" w:cs="宋体"/>
                    <w:kern w:val="0"/>
                  </w:rPr>
                  <m:t>AD</m:t>
                </m:r>
                <m:ctrlPr>
                  <w:rPr>
                    <w:rFonts w:hint="eastAsia" w:ascii="Cambria Math" w:hAnsi="Cambria Math" w:cs="宋体"/>
                    <w:bCs/>
                    <w:kern w:val="0"/>
                  </w:rPr>
                </m:ctrlPr>
              </m:e>
              <m:sub>
                <m:r>
                  <m:rPr/>
                  <w:rPr>
                    <w:rFonts w:hint="eastAsia" w:ascii="Cambria Math" w:hAnsi="Cambria Math" w:cs="宋体"/>
                    <w:kern w:val="0"/>
                  </w:rPr>
                  <m:t>i</m:t>
                </m:r>
                <m:ctrlPr>
                  <w:rPr>
                    <w:rFonts w:hint="eastAsia" w:ascii="Cambria Math" w:hAnsi="Cambria Math" w:cs="宋体"/>
                    <w:bCs/>
                    <w:kern w:val="0"/>
                  </w:rPr>
                </m:ctrlPr>
              </m:sub>
            </m:sSub>
            <m:ctrlPr>
              <w:rPr>
                <w:rFonts w:hint="eastAsia" w:ascii="Cambria Math" w:hAnsi="Cambria Math" w:cs="宋体"/>
                <w:bCs/>
                <w:kern w:val="0"/>
              </w:rPr>
            </m:ctrlPr>
          </m:e>
        </m:nary>
        <m:r>
          <m:rPr>
            <m:sty m:val="p"/>
          </m:rPr>
          <w:rPr>
            <w:rFonts w:hint="eastAsia" w:ascii="Cambria Math" w:hAnsi="Cambria Math" w:cs="宋体"/>
            <w:kern w:val="0"/>
          </w:rPr>
          <m:t>×</m:t>
        </m:r>
        <m:sSub>
          <m:sSubPr>
            <m:ctrlPr>
              <w:rPr>
                <w:rFonts w:hint="eastAsia" w:ascii="Cambria Math" w:hAnsi="Cambria Math" w:cs="宋体"/>
                <w:bCs/>
                <w:kern w:val="0"/>
              </w:rPr>
            </m:ctrlPr>
          </m:sSubPr>
          <m:e>
            <m:r>
              <m:rPr/>
              <w:rPr>
                <w:rFonts w:hint="eastAsia" w:ascii="Cambria Math" w:hAnsi="Cambria Math" w:cs="宋体"/>
                <w:kern w:val="0"/>
              </w:rPr>
              <m:t>EF</m:t>
            </m:r>
            <m:ctrlPr>
              <w:rPr>
                <w:rFonts w:hint="eastAsia" w:ascii="Cambria Math" w:hAnsi="Cambria Math" w:cs="宋体"/>
                <w:bCs/>
                <w:kern w:val="0"/>
              </w:rPr>
            </m:ctrlPr>
          </m:e>
          <m:sub>
            <m:r>
              <m:rPr/>
              <w:rPr>
                <w:rFonts w:hint="eastAsia" w:ascii="Cambria Math" w:hAnsi="Cambria Math" w:cs="宋体"/>
                <w:kern w:val="0"/>
              </w:rPr>
              <m:t>i</m:t>
            </m:r>
            <m:ctrlPr>
              <w:rPr>
                <w:rFonts w:hint="eastAsia" w:ascii="Cambria Math" w:hAnsi="Cambria Math" w:cs="宋体"/>
                <w:bCs/>
                <w:kern w:val="0"/>
              </w:rPr>
            </m:ctrlPr>
          </m:sub>
        </m:sSub>
        <m:r>
          <m:rPr>
            <m:sty m:val="p"/>
          </m:rPr>
          <w:rPr>
            <w:rFonts w:hint="eastAsia" w:ascii="Cambria Math" w:hAnsi="Cambria Math" w:cs="宋体"/>
            <w:kern w:val="0"/>
          </w:rPr>
          <m:t>）</m:t>
        </m:r>
      </m:oMath>
      <w:r>
        <w:rPr>
          <w:rFonts w:hint="eastAsia" w:ascii="宋体" w:hAnsi="宋体" w:cs="宋体"/>
          <w:kern w:val="0"/>
        </w:rPr>
        <w:tab/>
      </w:r>
      <w:r>
        <w:rPr>
          <w:rFonts w:hint="eastAsia" w:ascii="宋体" w:hAnsi="宋体" w:cs="宋体"/>
          <w:kern w:val="0"/>
        </w:rPr>
        <w:t xml:space="preserve">   </w:t>
      </w:r>
      <w:r>
        <w:rPr>
          <w:rFonts w:ascii="宋体" w:hAnsi="宋体" w:cs="宋体"/>
          <w:kern w:val="0"/>
        </w:rPr>
        <w:t xml:space="preserve">                       </w:t>
      </w:r>
      <w:r>
        <w:rPr>
          <w:rFonts w:hint="eastAsia" w:ascii="宋体" w:hAnsi="宋体" w:cs="宋体"/>
          <w:kern w:val="0"/>
        </w:rPr>
        <w:t xml:space="preserve">  </w:t>
      </w:r>
      <w:r>
        <w:rPr>
          <w:rFonts w:hint="eastAsia" w:ascii="宋体" w:hAnsi="宋体" w:cs="宋体"/>
          <w:bCs/>
          <w:kern w:val="0"/>
        </w:rPr>
        <w:t>（</w:t>
      </w:r>
      <w:r>
        <w:rPr>
          <w:rFonts w:ascii="宋体" w:hAnsi="宋体" w:cs="宋体"/>
          <w:bCs/>
          <w:kern w:val="0"/>
        </w:rPr>
        <w:t>5</w:t>
      </w:r>
      <w:r>
        <w:rPr>
          <w:rFonts w:hint="eastAsia" w:ascii="宋体" w:hAnsi="宋体" w:cs="宋体"/>
          <w:bCs/>
          <w:kern w:val="0"/>
        </w:rPr>
        <w:t>）</w:t>
      </w:r>
    </w:p>
    <w:p>
      <w:pPr>
        <w:keepNext w:val="0"/>
        <w:keepLines w:val="0"/>
        <w:pageBreakBefore w:val="0"/>
        <w:widowControl/>
        <w:numPr>
          <w:ilvl w:val="255"/>
          <w:numId w:val="0"/>
        </w:numPr>
        <w:kinsoku/>
        <w:wordWrap/>
        <w:overflowPunct/>
        <w:topLinePunct w:val="0"/>
        <w:autoSpaceDE/>
        <w:autoSpaceDN/>
        <w:bidi w:val="0"/>
        <w:adjustRightInd/>
        <w:snapToGrid/>
        <w:spacing w:line="240" w:lineRule="auto"/>
        <w:ind w:firstLine="420" w:firstLineChars="200"/>
        <w:jc w:val="left"/>
        <w:textAlignment w:val="auto"/>
        <w:rPr>
          <w:rFonts w:ascii="宋体" w:hAnsi="宋体" w:cs="宋体"/>
          <w:kern w:val="0"/>
        </w:rPr>
      </w:pPr>
      <w:r>
        <w:rPr>
          <w:rFonts w:hint="eastAsia" w:ascii="宋体" w:hAnsi="宋体" w:cs="宋体"/>
          <w:kern w:val="0"/>
        </w:rPr>
        <w:t>式中：</w:t>
      </w:r>
    </w:p>
    <w:p>
      <w:pPr>
        <w:keepNext w:val="0"/>
        <w:keepLines w:val="0"/>
        <w:pageBreakBefore w:val="0"/>
        <w:widowControl/>
        <w:numPr>
          <w:ilvl w:val="255"/>
          <w:numId w:val="0"/>
        </w:numPr>
        <w:kinsoku/>
        <w:wordWrap/>
        <w:overflowPunct/>
        <w:topLinePunct w:val="0"/>
        <w:autoSpaceDE/>
        <w:autoSpaceDN/>
        <w:bidi w:val="0"/>
        <w:adjustRightInd/>
        <w:snapToGrid/>
        <w:spacing w:line="240" w:lineRule="auto"/>
        <w:ind w:firstLine="420" w:firstLineChars="200"/>
        <w:jc w:val="left"/>
        <w:textAlignment w:val="auto"/>
        <w:rPr>
          <w:rFonts w:ascii="宋体" w:hAnsi="宋体" w:cs="宋体"/>
          <w:kern w:val="0"/>
        </w:rPr>
      </w:pPr>
      <m:oMath>
        <m:sSub>
          <m:sSubPr>
            <m:ctrlPr>
              <w:rPr>
                <w:rFonts w:hint="eastAsia" w:ascii="Cambria Math" w:hAnsi="Cambria Math" w:cs="宋体"/>
                <w:bCs/>
                <w:kern w:val="0"/>
              </w:rPr>
            </m:ctrlPr>
          </m:sSubPr>
          <m:e>
            <m:r>
              <m:rPr/>
              <w:rPr>
                <w:rFonts w:hint="eastAsia" w:ascii="Cambria Math" w:hAnsi="Cambria Math" w:cs="宋体"/>
                <w:kern w:val="0"/>
              </w:rPr>
              <m:t>AD</m:t>
            </m:r>
            <m:ctrlPr>
              <w:rPr>
                <w:rFonts w:hint="eastAsia" w:ascii="Cambria Math" w:hAnsi="Cambria Math" w:cs="宋体"/>
                <w:bCs/>
                <w:kern w:val="0"/>
              </w:rPr>
            </m:ctrlPr>
          </m:e>
          <m:sub>
            <m:r>
              <m:rPr/>
              <w:rPr>
                <w:rFonts w:hint="eastAsia" w:ascii="Cambria Math" w:hAnsi="Cambria Math" w:cs="宋体"/>
                <w:kern w:val="0"/>
              </w:rPr>
              <m:t>i</m:t>
            </m:r>
            <m:ctrlPr>
              <w:rPr>
                <w:rFonts w:hint="eastAsia" w:ascii="Cambria Math" w:hAnsi="Cambria Math" w:cs="宋体"/>
                <w:bCs/>
                <w:kern w:val="0"/>
              </w:rPr>
            </m:ctrlPr>
          </m:sub>
        </m:sSub>
      </m:oMath>
      <w:r>
        <w:rPr>
          <w:rFonts w:hint="eastAsia" w:ascii="宋体" w:hAnsi="宋体" w:cs="宋体"/>
          <w:kern w:val="0"/>
        </w:rPr>
        <w:t>——</w:t>
      </w:r>
      <w:r>
        <w:rPr>
          <w:rFonts w:hint="eastAsia" w:ascii="宋体" w:hAnsi="宋体" w:cs="宋体"/>
          <w:bCs/>
          <w:kern w:val="0"/>
        </w:rPr>
        <w:t>每立方米</w:t>
      </w:r>
      <w:r>
        <w:rPr>
          <w:rFonts w:hint="eastAsia" w:ascii="宋体" w:hAnsi="宋体" w:cs="宋体"/>
          <w:kern w:val="0"/>
        </w:rPr>
        <w:t>预拌混凝土生产中第</w:t>
      </w:r>
      <w:r>
        <w:rPr>
          <w:rFonts w:hint="eastAsia" w:ascii="宋体" w:hAnsi="宋体" w:cs="宋体"/>
          <w:i/>
          <w:iCs/>
          <w:kern w:val="0"/>
        </w:rPr>
        <w:t>i</w:t>
      </w:r>
      <w:r>
        <w:rPr>
          <w:rFonts w:hint="eastAsia" w:ascii="宋体" w:hAnsi="宋体" w:cs="宋体"/>
          <w:kern w:val="0"/>
        </w:rPr>
        <w:t>种化石燃料的消耗量；</w:t>
      </w:r>
    </w:p>
    <w:p>
      <w:pPr>
        <w:keepNext w:val="0"/>
        <w:keepLines w:val="0"/>
        <w:pageBreakBefore w:val="0"/>
        <w:widowControl/>
        <w:numPr>
          <w:ilvl w:val="255"/>
          <w:numId w:val="0"/>
        </w:numPr>
        <w:kinsoku/>
        <w:wordWrap/>
        <w:overflowPunct/>
        <w:topLinePunct w:val="0"/>
        <w:autoSpaceDE/>
        <w:autoSpaceDN/>
        <w:bidi w:val="0"/>
        <w:adjustRightInd/>
        <w:snapToGrid/>
        <w:spacing w:line="240" w:lineRule="auto"/>
        <w:ind w:firstLine="420" w:firstLineChars="200"/>
        <w:jc w:val="left"/>
        <w:textAlignment w:val="auto"/>
        <w:rPr>
          <w:rFonts w:ascii="宋体" w:hAnsi="宋体" w:cs="宋体"/>
          <w:kern w:val="0"/>
        </w:rPr>
      </w:pPr>
      <m:oMath>
        <m:sSub>
          <m:sSubPr>
            <m:ctrlPr>
              <w:rPr>
                <w:rFonts w:hint="eastAsia" w:ascii="Cambria Math" w:hAnsi="Cambria Math" w:cs="宋体"/>
                <w:bCs/>
                <w:kern w:val="0"/>
              </w:rPr>
            </m:ctrlPr>
          </m:sSubPr>
          <m:e>
            <m:r>
              <m:rPr/>
              <w:rPr>
                <w:rFonts w:hint="eastAsia" w:ascii="Cambria Math" w:hAnsi="Cambria Math" w:cs="宋体"/>
                <w:kern w:val="0"/>
              </w:rPr>
              <m:t>EF</m:t>
            </m:r>
            <m:ctrlPr>
              <w:rPr>
                <w:rFonts w:hint="eastAsia" w:ascii="Cambria Math" w:hAnsi="Cambria Math" w:cs="宋体"/>
                <w:bCs/>
                <w:kern w:val="0"/>
              </w:rPr>
            </m:ctrlPr>
          </m:e>
          <m:sub>
            <m:r>
              <m:rPr/>
              <w:rPr>
                <w:rFonts w:hint="eastAsia" w:ascii="Cambria Math" w:hAnsi="Cambria Math" w:cs="宋体"/>
                <w:kern w:val="0"/>
              </w:rPr>
              <m:t>i</m:t>
            </m:r>
            <m:ctrlPr>
              <w:rPr>
                <w:rFonts w:hint="eastAsia" w:ascii="Cambria Math" w:hAnsi="Cambria Math" w:cs="宋体"/>
                <w:bCs/>
                <w:kern w:val="0"/>
              </w:rPr>
            </m:ctrlPr>
          </m:sub>
        </m:sSub>
      </m:oMath>
      <w:r>
        <w:rPr>
          <w:rFonts w:hint="eastAsia" w:ascii="宋体" w:hAnsi="宋体" w:cs="宋体"/>
          <w:kern w:val="0"/>
        </w:rPr>
        <w:t>——第</w:t>
      </w:r>
      <w:r>
        <w:rPr>
          <w:rFonts w:hint="eastAsia" w:ascii="宋体" w:hAnsi="宋体" w:cs="宋体"/>
          <w:bCs/>
          <w:i/>
          <w:iCs/>
          <w:kern w:val="0"/>
        </w:rPr>
        <w:t>i</w:t>
      </w:r>
      <w:r>
        <w:rPr>
          <w:rFonts w:hint="eastAsia" w:ascii="宋体" w:hAnsi="宋体" w:cs="宋体"/>
          <w:kern w:val="0"/>
        </w:rPr>
        <w:t>种燃料的碳排放因子；</w:t>
      </w:r>
    </w:p>
    <w:p>
      <w:pPr>
        <w:keepNext w:val="0"/>
        <w:keepLines w:val="0"/>
        <w:pageBreakBefore w:val="0"/>
        <w:widowControl/>
        <w:numPr>
          <w:ilvl w:val="255"/>
          <w:numId w:val="0"/>
        </w:numPr>
        <w:kinsoku/>
        <w:wordWrap/>
        <w:overflowPunct/>
        <w:topLinePunct w:val="0"/>
        <w:autoSpaceDE/>
        <w:autoSpaceDN/>
        <w:bidi w:val="0"/>
        <w:adjustRightInd/>
        <w:snapToGrid/>
        <w:spacing w:line="240" w:lineRule="auto"/>
        <w:ind w:firstLine="420" w:firstLineChars="200"/>
        <w:jc w:val="left"/>
        <w:textAlignment w:val="auto"/>
        <w:rPr>
          <w:rFonts w:ascii="宋体" w:hAnsi="宋体" w:cs="宋体"/>
          <w:kern w:val="0"/>
        </w:rPr>
      </w:pPr>
      <w:r>
        <w:rPr>
          <w:rFonts w:hint="eastAsia" w:ascii="宋体" w:hAnsi="宋体" w:cs="宋体"/>
          <w:kern w:val="0"/>
        </w:rPr>
        <w:t>其中，</w:t>
      </w:r>
    </w:p>
    <w:p>
      <w:pPr>
        <w:keepNext w:val="0"/>
        <w:keepLines w:val="0"/>
        <w:pageBreakBefore w:val="0"/>
        <w:widowControl/>
        <w:numPr>
          <w:ilvl w:val="255"/>
          <w:numId w:val="0"/>
        </w:numPr>
        <w:kinsoku/>
        <w:wordWrap/>
        <w:overflowPunct/>
        <w:topLinePunct w:val="0"/>
        <w:autoSpaceDE/>
        <w:autoSpaceDN/>
        <w:bidi w:val="0"/>
        <w:adjustRightInd/>
        <w:snapToGrid/>
        <w:spacing w:line="240" w:lineRule="auto"/>
        <w:ind w:firstLine="480"/>
        <w:jc w:val="right"/>
        <w:textAlignment w:val="auto"/>
        <w:rPr>
          <w:rFonts w:ascii="宋体" w:hAnsi="宋体" w:cs="宋体"/>
          <w:bCs/>
          <w:kern w:val="0"/>
        </w:rPr>
      </w:pPr>
      <w:r>
        <w:rPr>
          <w:rFonts w:hint="eastAsia" w:ascii="宋体" w:hAnsi="宋体" w:cs="宋体"/>
          <w:bCs/>
          <w:kern w:val="0"/>
        </w:rPr>
        <w:t xml:space="preserve">               </w:t>
      </w:r>
      <m:oMath>
        <m:sSub>
          <m:sSubPr>
            <m:ctrlPr>
              <w:rPr>
                <w:rFonts w:hint="eastAsia" w:ascii="Cambria Math" w:hAnsi="Cambria Math" w:cs="宋体"/>
                <w:bCs/>
                <w:kern w:val="0"/>
              </w:rPr>
            </m:ctrlPr>
          </m:sSubPr>
          <m:e>
            <m:r>
              <m:rPr/>
              <w:rPr>
                <w:rFonts w:hint="eastAsia" w:ascii="Cambria Math" w:hAnsi="Cambria Math" w:cs="宋体"/>
                <w:kern w:val="0"/>
              </w:rPr>
              <m:t>EF</m:t>
            </m:r>
            <m:ctrlPr>
              <w:rPr>
                <w:rFonts w:hint="eastAsia" w:ascii="Cambria Math" w:hAnsi="Cambria Math" w:cs="宋体"/>
                <w:bCs/>
                <w:kern w:val="0"/>
              </w:rPr>
            </m:ctrlPr>
          </m:e>
          <m:sub>
            <m:r>
              <m:rPr/>
              <w:rPr>
                <w:rFonts w:hint="eastAsia" w:ascii="Cambria Math" w:hAnsi="Cambria Math" w:cs="宋体"/>
                <w:kern w:val="0"/>
              </w:rPr>
              <m:t>i</m:t>
            </m:r>
            <m:ctrlPr>
              <w:rPr>
                <w:rFonts w:hint="eastAsia" w:ascii="Cambria Math" w:hAnsi="Cambria Math" w:cs="宋体"/>
                <w:bCs/>
                <w:kern w:val="0"/>
              </w:rPr>
            </m:ctrlPr>
          </m:sub>
        </m:sSub>
        <m:r>
          <m:rPr/>
          <w:rPr>
            <w:rFonts w:hint="eastAsia" w:ascii="Cambria Math" w:hAnsi="Cambria Math" w:cs="宋体"/>
            <w:kern w:val="0"/>
          </w:rPr>
          <m:t>=</m:t>
        </m:r>
        <m:sSub>
          <m:sSubPr>
            <m:ctrlPr>
              <w:rPr>
                <w:rFonts w:hint="eastAsia" w:ascii="Cambria Math" w:hAnsi="Cambria Math" w:cs="宋体"/>
                <w:bCs/>
                <w:kern w:val="0"/>
              </w:rPr>
            </m:ctrlPr>
          </m:sSubPr>
          <m:e>
            <m:r>
              <m:rPr/>
              <w:rPr>
                <w:rFonts w:hint="eastAsia" w:ascii="Cambria Math" w:hAnsi="Cambria Math" w:cs="宋体"/>
                <w:kern w:val="0"/>
              </w:rPr>
              <m:t>E</m:t>
            </m:r>
            <m:ctrlPr>
              <w:rPr>
                <w:rFonts w:hint="eastAsia" w:ascii="Cambria Math" w:hAnsi="Cambria Math" w:cs="宋体"/>
                <w:bCs/>
                <w:kern w:val="0"/>
              </w:rPr>
            </m:ctrlPr>
          </m:e>
          <m:sub>
            <m:r>
              <m:rPr/>
              <w:rPr>
                <w:rFonts w:hint="eastAsia" w:ascii="Cambria Math" w:hAnsi="Cambria Math" w:cs="宋体"/>
                <w:kern w:val="0"/>
              </w:rPr>
              <m:t>i</m:t>
            </m:r>
            <m:ctrlPr>
              <w:rPr>
                <w:rFonts w:hint="eastAsia" w:ascii="Cambria Math" w:hAnsi="Cambria Math" w:cs="宋体"/>
                <w:bCs/>
                <w:kern w:val="0"/>
              </w:rPr>
            </m:ctrlPr>
          </m:sub>
        </m:sSub>
        <m:r>
          <m:rPr>
            <m:sty m:val="p"/>
          </m:rPr>
          <w:rPr>
            <w:rFonts w:hint="eastAsia" w:ascii="Cambria Math" w:hAnsi="Cambria Math" w:cs="宋体"/>
            <w:kern w:val="0"/>
          </w:rPr>
          <m:t>×</m:t>
        </m:r>
        <m:sSub>
          <m:sSubPr>
            <m:ctrlPr>
              <w:rPr>
                <w:rFonts w:hint="eastAsia" w:ascii="Cambria Math" w:hAnsi="Cambria Math" w:cs="宋体"/>
                <w:bCs/>
                <w:kern w:val="0"/>
              </w:rPr>
            </m:ctrlPr>
          </m:sSubPr>
          <m:e>
            <m:r>
              <m:rPr/>
              <w:rPr>
                <w:rFonts w:hint="eastAsia" w:ascii="Cambria Math" w:hAnsi="Cambria Math" w:cs="宋体"/>
                <w:kern w:val="0"/>
              </w:rPr>
              <m:t>R</m:t>
            </m:r>
            <m:ctrlPr>
              <w:rPr>
                <w:rFonts w:hint="eastAsia" w:ascii="Cambria Math" w:hAnsi="Cambria Math" w:cs="宋体"/>
                <w:bCs/>
                <w:kern w:val="0"/>
              </w:rPr>
            </m:ctrlPr>
          </m:e>
          <m:sub>
            <m:r>
              <m:rPr/>
              <w:rPr>
                <w:rFonts w:hint="eastAsia" w:ascii="Cambria Math" w:hAnsi="Cambria Math" w:cs="宋体"/>
                <w:kern w:val="0"/>
              </w:rPr>
              <m:t>i</m:t>
            </m:r>
            <m:ctrlPr>
              <w:rPr>
                <w:rFonts w:hint="eastAsia" w:ascii="Cambria Math" w:hAnsi="Cambria Math" w:cs="宋体"/>
                <w:bCs/>
                <w:kern w:val="0"/>
              </w:rPr>
            </m:ctrlPr>
          </m:sub>
        </m:sSub>
        <m:r>
          <m:rPr/>
          <w:rPr>
            <w:rFonts w:hint="eastAsia" w:ascii="Cambria Math" w:hAnsi="Cambria Math" w:cs="宋体"/>
            <w:kern w:val="0"/>
          </w:rPr>
          <m:t>/1000</m:t>
        </m:r>
      </m:oMath>
      <w:r>
        <w:rPr>
          <w:rFonts w:hint="eastAsia" w:ascii="宋体" w:hAnsi="宋体" w:cs="宋体"/>
          <w:kern w:val="0"/>
        </w:rPr>
        <w:tab/>
      </w:r>
      <w:r>
        <w:rPr>
          <w:rFonts w:hint="eastAsia" w:ascii="宋体" w:hAnsi="宋体" w:cs="宋体"/>
          <w:kern w:val="0"/>
        </w:rPr>
        <w:t xml:space="preserve">      </w:t>
      </w:r>
      <w:r>
        <w:rPr>
          <w:rFonts w:ascii="宋体" w:hAnsi="宋体" w:cs="宋体"/>
          <w:kern w:val="0"/>
        </w:rPr>
        <w:t xml:space="preserve">               </w:t>
      </w:r>
      <w:r>
        <w:rPr>
          <w:rFonts w:hint="eastAsia" w:ascii="宋体" w:hAnsi="宋体" w:cs="宋体"/>
          <w:kern w:val="0"/>
        </w:rPr>
        <w:t xml:space="preserve">       </w:t>
      </w:r>
      <w:r>
        <w:rPr>
          <w:rFonts w:hint="eastAsia" w:ascii="宋体" w:hAnsi="宋体" w:cs="宋体"/>
          <w:bCs/>
          <w:kern w:val="0"/>
        </w:rPr>
        <w:t>（</w:t>
      </w:r>
      <w:r>
        <w:rPr>
          <w:rFonts w:ascii="宋体" w:hAnsi="宋体" w:cs="宋体"/>
          <w:bCs/>
          <w:kern w:val="0"/>
        </w:rPr>
        <w:t>6</w:t>
      </w:r>
      <w:r>
        <w:rPr>
          <w:rFonts w:hint="eastAsia" w:ascii="宋体" w:hAnsi="宋体" w:cs="宋体"/>
          <w:bCs/>
          <w:kern w:val="0"/>
        </w:rPr>
        <w:t>）</w:t>
      </w:r>
    </w:p>
    <w:p>
      <w:pPr>
        <w:keepNext w:val="0"/>
        <w:keepLines w:val="0"/>
        <w:pageBreakBefore w:val="0"/>
        <w:widowControl/>
        <w:numPr>
          <w:ilvl w:val="255"/>
          <w:numId w:val="0"/>
        </w:numPr>
        <w:kinsoku/>
        <w:wordWrap/>
        <w:overflowPunct/>
        <w:topLinePunct w:val="0"/>
        <w:autoSpaceDE/>
        <w:autoSpaceDN/>
        <w:bidi w:val="0"/>
        <w:adjustRightInd/>
        <w:snapToGrid/>
        <w:spacing w:line="240" w:lineRule="auto"/>
        <w:ind w:firstLine="420" w:firstLineChars="200"/>
        <w:jc w:val="left"/>
        <w:textAlignment w:val="auto"/>
        <w:rPr>
          <w:rFonts w:ascii="宋体" w:hAnsi="宋体" w:cs="宋体"/>
          <w:kern w:val="0"/>
        </w:rPr>
      </w:pPr>
      <w:r>
        <w:rPr>
          <w:rFonts w:hint="eastAsia" w:ascii="宋体" w:hAnsi="宋体" w:cs="宋体"/>
          <w:bCs/>
          <w:kern w:val="0"/>
        </w:rPr>
        <w:t>式中：</w:t>
      </w:r>
    </w:p>
    <w:p>
      <w:pPr>
        <w:keepNext w:val="0"/>
        <w:keepLines w:val="0"/>
        <w:pageBreakBefore w:val="0"/>
        <w:widowControl/>
        <w:numPr>
          <w:ilvl w:val="255"/>
          <w:numId w:val="0"/>
        </w:numPr>
        <w:kinsoku/>
        <w:wordWrap/>
        <w:overflowPunct/>
        <w:topLinePunct w:val="0"/>
        <w:autoSpaceDE/>
        <w:autoSpaceDN/>
        <w:bidi w:val="0"/>
        <w:adjustRightInd/>
        <w:snapToGrid/>
        <w:spacing w:line="240" w:lineRule="auto"/>
        <w:ind w:firstLine="420" w:firstLineChars="200"/>
        <w:jc w:val="left"/>
        <w:textAlignment w:val="auto"/>
        <w:rPr>
          <w:rFonts w:ascii="宋体" w:hAnsi="宋体" w:cs="宋体"/>
          <w:kern w:val="0"/>
        </w:rPr>
      </w:pPr>
      <m:oMath>
        <m:sSub>
          <m:sSubPr>
            <m:ctrlPr>
              <w:rPr>
                <w:rFonts w:hint="eastAsia" w:ascii="Cambria Math" w:hAnsi="Cambria Math" w:cs="宋体"/>
                <w:bCs/>
                <w:kern w:val="0"/>
              </w:rPr>
            </m:ctrlPr>
          </m:sSubPr>
          <m:e>
            <m:r>
              <m:rPr/>
              <w:rPr>
                <w:rFonts w:hint="eastAsia" w:ascii="Cambria Math" w:hAnsi="Cambria Math" w:cs="宋体"/>
                <w:kern w:val="0"/>
              </w:rPr>
              <m:t>E</m:t>
            </m:r>
            <m:ctrlPr>
              <w:rPr>
                <w:rFonts w:hint="eastAsia" w:ascii="Cambria Math" w:hAnsi="Cambria Math" w:cs="宋体"/>
                <w:bCs/>
                <w:kern w:val="0"/>
              </w:rPr>
            </m:ctrlPr>
          </m:e>
          <m:sub>
            <m:r>
              <m:rPr/>
              <w:rPr>
                <w:rFonts w:hint="eastAsia" w:ascii="Cambria Math" w:hAnsi="Cambria Math" w:cs="宋体"/>
                <w:kern w:val="0"/>
              </w:rPr>
              <m:t>i</m:t>
            </m:r>
            <m:ctrlPr>
              <w:rPr>
                <w:rFonts w:hint="eastAsia" w:ascii="Cambria Math" w:hAnsi="Cambria Math" w:cs="宋体"/>
                <w:bCs/>
                <w:kern w:val="0"/>
              </w:rPr>
            </m:ctrlPr>
          </m:sub>
        </m:sSub>
      </m:oMath>
      <w:r>
        <w:rPr>
          <w:rFonts w:hint="eastAsia" w:ascii="宋体" w:hAnsi="宋体" w:cs="宋体"/>
          <w:kern w:val="0"/>
        </w:rPr>
        <w:t>——</w:t>
      </w:r>
      <w:r>
        <w:rPr>
          <w:rFonts w:hint="eastAsia" w:ascii="宋体" w:hAnsi="宋体" w:cs="宋体"/>
          <w:bCs/>
          <w:kern w:val="0"/>
        </w:rPr>
        <w:t>第</w:t>
      </w:r>
      <w:r>
        <w:rPr>
          <w:rFonts w:hint="eastAsia" w:ascii="宋体" w:hAnsi="宋体" w:cs="宋体"/>
          <w:bCs/>
          <w:i/>
          <w:kern w:val="0"/>
        </w:rPr>
        <w:t>i</w:t>
      </w:r>
      <w:r>
        <w:rPr>
          <w:rFonts w:hint="eastAsia" w:ascii="宋体" w:hAnsi="宋体" w:cs="宋体"/>
          <w:bCs/>
          <w:kern w:val="0"/>
        </w:rPr>
        <w:t>种燃料的单位热值碳排放因子</w:t>
      </w:r>
      <w:r>
        <w:rPr>
          <w:rFonts w:hint="eastAsia" w:ascii="宋体" w:hAnsi="宋体" w:cs="宋体"/>
          <w:kern w:val="0"/>
        </w:rPr>
        <w:t>，</w:t>
      </w:r>
      <w:r>
        <w:rPr>
          <w:rFonts w:hint="eastAsia" w:ascii="宋体" w:hAnsi="宋体" w:cs="宋体"/>
          <w:bCs/>
          <w:kern w:val="0"/>
        </w:rPr>
        <w:t>按照表</w:t>
      </w:r>
      <w:r>
        <w:rPr>
          <w:rFonts w:ascii="宋体" w:hAnsi="宋体" w:cs="宋体"/>
          <w:bCs/>
          <w:kern w:val="0"/>
        </w:rPr>
        <w:t>5</w:t>
      </w:r>
      <w:r>
        <w:rPr>
          <w:rFonts w:hint="eastAsia" w:ascii="宋体" w:hAnsi="宋体" w:cs="宋体"/>
          <w:bCs/>
          <w:kern w:val="0"/>
        </w:rPr>
        <w:t>取值</w:t>
      </w:r>
      <w:r>
        <w:rPr>
          <w:rFonts w:hint="eastAsia" w:ascii="宋体" w:hAnsi="宋体" w:cs="宋体"/>
          <w:kern w:val="0"/>
        </w:rPr>
        <w:t>；</w:t>
      </w:r>
    </w:p>
    <w:p>
      <w:pPr>
        <w:keepNext w:val="0"/>
        <w:keepLines w:val="0"/>
        <w:pageBreakBefore w:val="0"/>
        <w:widowControl/>
        <w:numPr>
          <w:ilvl w:val="255"/>
          <w:numId w:val="0"/>
        </w:numPr>
        <w:kinsoku/>
        <w:wordWrap/>
        <w:overflowPunct/>
        <w:topLinePunct w:val="0"/>
        <w:autoSpaceDE/>
        <w:autoSpaceDN/>
        <w:bidi w:val="0"/>
        <w:adjustRightInd/>
        <w:snapToGrid/>
        <w:spacing w:line="240" w:lineRule="auto"/>
        <w:ind w:firstLine="420" w:firstLineChars="200"/>
        <w:jc w:val="left"/>
        <w:textAlignment w:val="auto"/>
        <w:rPr>
          <w:rFonts w:ascii="宋体" w:hAnsi="宋体" w:cs="宋体"/>
          <w:kern w:val="0"/>
        </w:rPr>
      </w:pPr>
      <m:oMath>
        <m:sSub>
          <m:sSubPr>
            <m:ctrlPr>
              <w:rPr>
                <w:rFonts w:hint="eastAsia" w:ascii="Cambria Math" w:hAnsi="Cambria Math" w:cs="宋体"/>
                <w:bCs/>
                <w:kern w:val="0"/>
              </w:rPr>
            </m:ctrlPr>
          </m:sSubPr>
          <m:e>
            <m:r>
              <m:rPr/>
              <w:rPr>
                <w:rFonts w:hint="eastAsia" w:ascii="Cambria Math" w:hAnsi="Cambria Math" w:cs="宋体"/>
                <w:kern w:val="0"/>
              </w:rPr>
              <m:t>R</m:t>
            </m:r>
            <m:ctrlPr>
              <w:rPr>
                <w:rFonts w:hint="eastAsia" w:ascii="Cambria Math" w:hAnsi="Cambria Math" w:cs="宋体"/>
                <w:bCs/>
                <w:kern w:val="0"/>
              </w:rPr>
            </m:ctrlPr>
          </m:e>
          <m:sub>
            <m:r>
              <m:rPr/>
              <w:rPr>
                <w:rFonts w:hint="eastAsia" w:ascii="Cambria Math" w:hAnsi="Cambria Math" w:cs="宋体"/>
                <w:kern w:val="0"/>
              </w:rPr>
              <m:t>i</m:t>
            </m:r>
            <m:ctrlPr>
              <w:rPr>
                <w:rFonts w:hint="eastAsia" w:ascii="Cambria Math" w:hAnsi="Cambria Math" w:cs="宋体"/>
                <w:bCs/>
                <w:kern w:val="0"/>
              </w:rPr>
            </m:ctrlPr>
          </m:sub>
        </m:sSub>
      </m:oMath>
      <w:r>
        <w:rPr>
          <w:rFonts w:hint="eastAsia" w:ascii="宋体" w:hAnsi="宋体" w:cs="宋体"/>
          <w:kern w:val="0"/>
        </w:rPr>
        <w:t>——第</w:t>
      </w:r>
      <w:r>
        <w:rPr>
          <w:rFonts w:hint="eastAsia" w:ascii="宋体" w:hAnsi="宋体" w:cs="宋体"/>
          <w:bCs/>
          <w:i/>
          <w:iCs/>
          <w:kern w:val="0"/>
        </w:rPr>
        <w:t>i</w:t>
      </w:r>
      <w:r>
        <w:rPr>
          <w:rFonts w:hint="eastAsia" w:ascii="宋体" w:hAnsi="宋体" w:cs="宋体"/>
          <w:kern w:val="0"/>
        </w:rPr>
        <w:t>种燃料的低位发热量。</w:t>
      </w:r>
    </w:p>
    <w:p>
      <w:pPr>
        <w:keepNext w:val="0"/>
        <w:keepLines w:val="0"/>
        <w:pageBreakBefore w:val="0"/>
        <w:numPr>
          <w:ilvl w:val="255"/>
          <w:numId w:val="0"/>
        </w:numPr>
        <w:tabs>
          <w:tab w:val="left" w:pos="20"/>
        </w:tabs>
        <w:kinsoku/>
        <w:wordWrap/>
        <w:overflowPunct/>
        <w:topLinePunct w:val="0"/>
        <w:bidi w:val="0"/>
        <w:adjustRightInd/>
        <w:spacing w:before="156" w:beforeLines="50" w:after="156" w:afterLines="50" w:line="240" w:lineRule="auto"/>
        <w:jc w:val="center"/>
        <w:textAlignment w:val="auto"/>
        <w:rPr>
          <w:rFonts w:hint="eastAsia" w:ascii="黑体" w:hAnsi="黑体" w:eastAsia="黑体" w:cs="黑体"/>
          <w:bCs/>
        </w:rPr>
      </w:pPr>
    </w:p>
    <w:p>
      <w:pPr>
        <w:keepNext w:val="0"/>
        <w:keepLines w:val="0"/>
        <w:pageBreakBefore w:val="0"/>
        <w:numPr>
          <w:ilvl w:val="255"/>
          <w:numId w:val="0"/>
        </w:numPr>
        <w:tabs>
          <w:tab w:val="left" w:pos="20"/>
        </w:tabs>
        <w:kinsoku/>
        <w:wordWrap/>
        <w:overflowPunct/>
        <w:topLinePunct w:val="0"/>
        <w:bidi w:val="0"/>
        <w:adjustRightInd/>
        <w:spacing w:before="156" w:beforeLines="50" w:after="156" w:afterLines="50" w:line="240" w:lineRule="auto"/>
        <w:jc w:val="center"/>
        <w:textAlignment w:val="auto"/>
        <w:rPr>
          <w:rFonts w:ascii="黑体" w:hAnsi="黑体" w:eastAsia="黑体" w:cs="黑体"/>
          <w:bCs/>
        </w:rPr>
      </w:pPr>
      <w:r>
        <w:rPr>
          <w:rFonts w:hint="eastAsia" w:ascii="黑体" w:hAnsi="黑体" w:eastAsia="黑体" w:cs="黑体"/>
          <w:bCs/>
        </w:rPr>
        <w:t>表5 化石燃料单位热值碳排放因子（tCO</w:t>
      </w:r>
      <w:r>
        <w:rPr>
          <w:rFonts w:hint="eastAsia" w:ascii="黑体" w:hAnsi="黑体" w:eastAsia="黑体" w:cs="黑体"/>
          <w:bCs/>
          <w:vertAlign w:val="subscript"/>
        </w:rPr>
        <w:t>2</w:t>
      </w:r>
      <w:r>
        <w:rPr>
          <w:rFonts w:hint="eastAsia" w:ascii="黑体" w:hAnsi="黑体" w:eastAsia="黑体" w:cs="黑体"/>
          <w:bCs/>
        </w:rPr>
        <w:t>e/TJ）</w:t>
      </w:r>
    </w:p>
    <w:tbl>
      <w:tblPr>
        <w:tblStyle w:val="241"/>
        <w:tblW w:w="9451"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75"/>
        <w:gridCol w:w="1412"/>
        <w:gridCol w:w="1738"/>
        <w:gridCol w:w="1575"/>
        <w:gridCol w:w="1365"/>
        <w:gridCol w:w="178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1575" w:type="dxa"/>
            <w:tcBorders>
              <w:top w:val="single" w:color="auto" w:sz="8" w:space="0"/>
              <w:bottom w:val="single" w:color="auto" w:sz="8" w:space="0"/>
            </w:tcBorders>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r>
              <w:rPr>
                <w:rFonts w:hint="eastAsia" w:ascii="宋体" w:hAnsi="宋体" w:cs="宋体"/>
                <w:kern w:val="0"/>
                <w:sz w:val="18"/>
                <w:szCs w:val="18"/>
                <w:lang w:eastAsia="en-US"/>
              </w:rPr>
              <w:t>分类</w:t>
            </w:r>
          </w:p>
        </w:tc>
        <w:tc>
          <w:tcPr>
            <w:tcW w:w="1412" w:type="dxa"/>
            <w:tcBorders>
              <w:top w:val="single" w:color="auto" w:sz="8" w:space="0"/>
              <w:bottom w:val="single" w:color="auto" w:sz="8" w:space="0"/>
            </w:tcBorders>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r>
              <w:rPr>
                <w:rFonts w:hint="eastAsia" w:ascii="宋体" w:hAnsi="宋体" w:cs="宋体"/>
                <w:kern w:val="0"/>
                <w:sz w:val="18"/>
                <w:szCs w:val="18"/>
                <w:lang w:eastAsia="en-US"/>
              </w:rPr>
              <w:t>燃料类型</w:t>
            </w:r>
          </w:p>
        </w:tc>
        <w:tc>
          <w:tcPr>
            <w:tcW w:w="1738" w:type="dxa"/>
            <w:tcBorders>
              <w:top w:val="single" w:color="auto" w:sz="8" w:space="0"/>
              <w:bottom w:val="single" w:color="auto" w:sz="8" w:space="0"/>
            </w:tcBorders>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r>
              <w:rPr>
                <w:rFonts w:hint="eastAsia" w:ascii="宋体" w:hAnsi="宋体" w:cs="宋体"/>
                <w:kern w:val="0"/>
                <w:sz w:val="18"/>
                <w:szCs w:val="18"/>
                <w:lang w:eastAsia="en-US"/>
              </w:rPr>
              <w:t>单位热值碳排放因子</w:t>
            </w:r>
          </w:p>
        </w:tc>
        <w:tc>
          <w:tcPr>
            <w:tcW w:w="1575" w:type="dxa"/>
            <w:tcBorders>
              <w:top w:val="single" w:color="auto" w:sz="8" w:space="0"/>
              <w:bottom w:val="single" w:color="auto" w:sz="8" w:space="0"/>
            </w:tcBorders>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r>
              <w:rPr>
                <w:rFonts w:hint="eastAsia" w:ascii="宋体" w:hAnsi="宋体" w:cs="宋体"/>
                <w:kern w:val="0"/>
                <w:sz w:val="18"/>
                <w:szCs w:val="18"/>
                <w:lang w:eastAsia="en-US"/>
              </w:rPr>
              <w:t>分类</w:t>
            </w:r>
          </w:p>
        </w:tc>
        <w:tc>
          <w:tcPr>
            <w:tcW w:w="1365" w:type="dxa"/>
            <w:tcBorders>
              <w:top w:val="single" w:color="auto" w:sz="8" w:space="0"/>
              <w:bottom w:val="single" w:color="auto" w:sz="8" w:space="0"/>
            </w:tcBorders>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r>
              <w:rPr>
                <w:rFonts w:hint="eastAsia" w:ascii="宋体" w:hAnsi="宋体" w:cs="宋体"/>
                <w:kern w:val="0"/>
                <w:sz w:val="18"/>
                <w:szCs w:val="18"/>
                <w:lang w:eastAsia="en-US"/>
              </w:rPr>
              <w:t>燃料类型</w:t>
            </w:r>
          </w:p>
        </w:tc>
        <w:tc>
          <w:tcPr>
            <w:tcW w:w="1786" w:type="dxa"/>
            <w:tcBorders>
              <w:top w:val="single" w:color="auto" w:sz="8" w:space="0"/>
              <w:bottom w:val="single" w:color="auto" w:sz="8" w:space="0"/>
            </w:tcBorders>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r>
              <w:rPr>
                <w:rFonts w:hint="eastAsia" w:ascii="宋体" w:hAnsi="宋体" w:cs="宋体"/>
                <w:kern w:val="0"/>
                <w:sz w:val="18"/>
                <w:szCs w:val="18"/>
                <w:lang w:eastAsia="en-US"/>
              </w:rPr>
              <w:t>单位热值碳排放因子</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1575" w:type="dxa"/>
            <w:vMerge w:val="restart"/>
            <w:tcBorders>
              <w:top w:val="single" w:color="auto" w:sz="8" w:space="0"/>
            </w:tcBorders>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r>
              <w:rPr>
                <w:rFonts w:hint="eastAsia" w:ascii="宋体" w:hAnsi="宋体" w:cs="宋体"/>
                <w:kern w:val="0"/>
                <w:sz w:val="18"/>
                <w:szCs w:val="18"/>
                <w:lang w:eastAsia="en-US"/>
              </w:rPr>
              <w:t>固体燃料</w:t>
            </w:r>
          </w:p>
        </w:tc>
        <w:tc>
          <w:tcPr>
            <w:tcW w:w="1412" w:type="dxa"/>
            <w:tcBorders>
              <w:top w:val="single" w:color="auto" w:sz="8" w:space="0"/>
            </w:tcBorders>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r>
              <w:rPr>
                <w:rFonts w:hint="eastAsia" w:ascii="宋体" w:hAnsi="宋体" w:cs="宋体"/>
                <w:kern w:val="0"/>
                <w:sz w:val="18"/>
                <w:szCs w:val="18"/>
                <w:lang w:eastAsia="en-US"/>
              </w:rPr>
              <w:t>无烟煤</w:t>
            </w:r>
          </w:p>
        </w:tc>
        <w:tc>
          <w:tcPr>
            <w:tcW w:w="1738" w:type="dxa"/>
            <w:tcBorders>
              <w:top w:val="single" w:color="auto" w:sz="8" w:space="0"/>
            </w:tcBorders>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ind w:right="630" w:rightChars="300"/>
              <w:jc w:val="right"/>
              <w:textAlignment w:val="auto"/>
              <w:rPr>
                <w:rFonts w:ascii="宋体" w:hAnsi="宋体" w:cs="宋体"/>
                <w:kern w:val="0"/>
                <w:sz w:val="18"/>
                <w:szCs w:val="18"/>
                <w:lang w:eastAsia="en-US"/>
              </w:rPr>
            </w:pPr>
            <w:r>
              <w:rPr>
                <w:rFonts w:hint="eastAsia" w:ascii="宋体" w:hAnsi="宋体" w:cs="宋体"/>
                <w:kern w:val="0"/>
                <w:sz w:val="18"/>
                <w:szCs w:val="18"/>
                <w:lang w:eastAsia="en-US"/>
              </w:rPr>
              <w:t>94.44</w:t>
            </w:r>
          </w:p>
        </w:tc>
        <w:tc>
          <w:tcPr>
            <w:tcW w:w="1575" w:type="dxa"/>
            <w:vMerge w:val="restart"/>
            <w:tcBorders>
              <w:top w:val="single" w:color="auto" w:sz="8" w:space="0"/>
            </w:tcBorders>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r>
              <w:rPr>
                <w:rFonts w:hint="eastAsia" w:ascii="宋体" w:hAnsi="宋体" w:cs="宋体"/>
                <w:kern w:val="0"/>
                <w:sz w:val="18"/>
                <w:szCs w:val="18"/>
                <w:lang w:eastAsia="en-US"/>
              </w:rPr>
              <w:t>液体燃料</w:t>
            </w:r>
          </w:p>
        </w:tc>
        <w:tc>
          <w:tcPr>
            <w:tcW w:w="1365" w:type="dxa"/>
            <w:tcBorders>
              <w:top w:val="single" w:color="auto" w:sz="8" w:space="0"/>
            </w:tcBorders>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r>
              <w:rPr>
                <w:rFonts w:hint="eastAsia" w:ascii="宋体" w:hAnsi="宋体" w:cs="宋体"/>
                <w:kern w:val="0"/>
                <w:sz w:val="18"/>
                <w:szCs w:val="18"/>
                <w:lang w:eastAsia="en-US"/>
              </w:rPr>
              <w:t>原油</w:t>
            </w:r>
          </w:p>
        </w:tc>
        <w:tc>
          <w:tcPr>
            <w:tcW w:w="1786" w:type="dxa"/>
            <w:tcBorders>
              <w:top w:val="single" w:color="auto" w:sz="8" w:space="0"/>
            </w:tcBorders>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r>
              <w:rPr>
                <w:rFonts w:hint="eastAsia" w:ascii="宋体" w:hAnsi="宋体" w:cs="宋体"/>
                <w:kern w:val="0"/>
                <w:sz w:val="18"/>
                <w:szCs w:val="18"/>
                <w:lang w:eastAsia="en-US"/>
              </w:rPr>
              <w:t>72.23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97" w:hRule="atLeast"/>
        </w:trPr>
        <w:tc>
          <w:tcPr>
            <w:tcW w:w="1575" w:type="dxa"/>
            <w:vMerge w:val="continue"/>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p>
        </w:tc>
        <w:tc>
          <w:tcPr>
            <w:tcW w:w="1412"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r>
              <w:rPr>
                <w:rFonts w:hint="eastAsia" w:ascii="宋体" w:hAnsi="宋体" w:cs="宋体"/>
                <w:kern w:val="0"/>
                <w:sz w:val="18"/>
                <w:szCs w:val="18"/>
                <w:lang w:eastAsia="en-US"/>
              </w:rPr>
              <w:t>烟煤</w:t>
            </w:r>
          </w:p>
        </w:tc>
        <w:tc>
          <w:tcPr>
            <w:tcW w:w="1738"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ind w:right="630" w:rightChars="300"/>
              <w:jc w:val="right"/>
              <w:textAlignment w:val="auto"/>
              <w:rPr>
                <w:rFonts w:ascii="宋体" w:hAnsi="宋体" w:cs="宋体"/>
                <w:kern w:val="0"/>
                <w:sz w:val="18"/>
                <w:szCs w:val="18"/>
                <w:lang w:eastAsia="en-US"/>
              </w:rPr>
            </w:pPr>
            <w:r>
              <w:rPr>
                <w:rFonts w:hint="eastAsia" w:ascii="宋体" w:hAnsi="宋体" w:cs="宋体"/>
                <w:kern w:val="0"/>
                <w:sz w:val="18"/>
                <w:szCs w:val="18"/>
                <w:lang w:eastAsia="en-US"/>
              </w:rPr>
              <w:t>89.00</w:t>
            </w:r>
          </w:p>
        </w:tc>
        <w:tc>
          <w:tcPr>
            <w:tcW w:w="1575" w:type="dxa"/>
            <w:vMerge w:val="continue"/>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p>
        </w:tc>
        <w:tc>
          <w:tcPr>
            <w:tcW w:w="1365"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r>
              <w:rPr>
                <w:rFonts w:hint="eastAsia" w:ascii="宋体" w:hAnsi="宋体" w:cs="宋体"/>
                <w:kern w:val="0"/>
                <w:sz w:val="18"/>
                <w:szCs w:val="18"/>
                <w:lang w:eastAsia="en-US"/>
              </w:rPr>
              <w:t>燃料油</w:t>
            </w:r>
          </w:p>
        </w:tc>
        <w:tc>
          <w:tcPr>
            <w:tcW w:w="1786"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r>
              <w:rPr>
                <w:rFonts w:hint="eastAsia" w:ascii="宋体" w:hAnsi="宋体" w:cs="宋体"/>
                <w:kern w:val="0"/>
                <w:sz w:val="18"/>
                <w:szCs w:val="18"/>
                <w:lang w:eastAsia="en-US"/>
              </w:rPr>
              <w:t>75.82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1575" w:type="dxa"/>
            <w:vMerge w:val="continue"/>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p>
        </w:tc>
        <w:tc>
          <w:tcPr>
            <w:tcW w:w="1412"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r>
              <w:rPr>
                <w:rFonts w:hint="eastAsia" w:ascii="宋体" w:hAnsi="宋体" w:cs="宋体"/>
                <w:kern w:val="0"/>
                <w:sz w:val="18"/>
                <w:szCs w:val="18"/>
                <w:lang w:eastAsia="en-US"/>
              </w:rPr>
              <w:t>褐煤</w:t>
            </w:r>
          </w:p>
        </w:tc>
        <w:tc>
          <w:tcPr>
            <w:tcW w:w="1738"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ind w:right="630" w:rightChars="300"/>
              <w:jc w:val="right"/>
              <w:textAlignment w:val="auto"/>
              <w:rPr>
                <w:rFonts w:ascii="宋体" w:hAnsi="宋体" w:cs="宋体"/>
                <w:kern w:val="0"/>
                <w:sz w:val="18"/>
                <w:szCs w:val="18"/>
                <w:lang w:eastAsia="en-US"/>
              </w:rPr>
            </w:pPr>
            <w:r>
              <w:rPr>
                <w:rFonts w:hint="eastAsia" w:ascii="宋体" w:hAnsi="宋体" w:cs="宋体"/>
                <w:kern w:val="0"/>
                <w:sz w:val="18"/>
                <w:szCs w:val="18"/>
                <w:lang w:eastAsia="en-US"/>
              </w:rPr>
              <w:t>98.56</w:t>
            </w:r>
          </w:p>
        </w:tc>
        <w:tc>
          <w:tcPr>
            <w:tcW w:w="1575" w:type="dxa"/>
            <w:vMerge w:val="continue"/>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p>
        </w:tc>
        <w:tc>
          <w:tcPr>
            <w:tcW w:w="1365"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r>
              <w:rPr>
                <w:rFonts w:hint="eastAsia" w:ascii="宋体" w:hAnsi="宋体" w:cs="宋体"/>
                <w:kern w:val="0"/>
                <w:sz w:val="18"/>
                <w:szCs w:val="18"/>
                <w:lang w:eastAsia="en-US"/>
              </w:rPr>
              <w:t>汽油</w:t>
            </w:r>
          </w:p>
        </w:tc>
        <w:tc>
          <w:tcPr>
            <w:tcW w:w="1786"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r>
              <w:rPr>
                <w:rFonts w:hint="eastAsia" w:ascii="宋体" w:hAnsi="宋体" w:cs="宋体"/>
                <w:kern w:val="0"/>
                <w:sz w:val="18"/>
                <w:szCs w:val="18"/>
                <w:lang w:eastAsia="en-US"/>
              </w:rPr>
              <w:t>67.91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1575" w:type="dxa"/>
            <w:vMerge w:val="continue"/>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p>
        </w:tc>
        <w:tc>
          <w:tcPr>
            <w:tcW w:w="1412"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r>
              <w:rPr>
                <w:rFonts w:hint="eastAsia" w:ascii="宋体" w:hAnsi="宋体" w:cs="宋体"/>
                <w:kern w:val="0"/>
                <w:sz w:val="18"/>
                <w:szCs w:val="18"/>
                <w:lang w:eastAsia="en-US"/>
              </w:rPr>
              <w:t>炼焦煤</w:t>
            </w:r>
          </w:p>
        </w:tc>
        <w:tc>
          <w:tcPr>
            <w:tcW w:w="1738"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ind w:right="630" w:rightChars="300"/>
              <w:jc w:val="right"/>
              <w:textAlignment w:val="auto"/>
              <w:rPr>
                <w:rFonts w:ascii="宋体" w:hAnsi="宋体" w:cs="宋体"/>
                <w:kern w:val="0"/>
                <w:sz w:val="18"/>
                <w:szCs w:val="18"/>
                <w:lang w:eastAsia="en-US"/>
              </w:rPr>
            </w:pPr>
            <w:r>
              <w:rPr>
                <w:rFonts w:hint="eastAsia" w:ascii="宋体" w:hAnsi="宋体" w:cs="宋体"/>
                <w:kern w:val="0"/>
                <w:sz w:val="18"/>
                <w:szCs w:val="18"/>
                <w:lang w:eastAsia="en-US"/>
              </w:rPr>
              <w:t>91.27</w:t>
            </w:r>
          </w:p>
        </w:tc>
        <w:tc>
          <w:tcPr>
            <w:tcW w:w="1575" w:type="dxa"/>
            <w:vMerge w:val="continue"/>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p>
        </w:tc>
        <w:tc>
          <w:tcPr>
            <w:tcW w:w="1365"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r>
              <w:rPr>
                <w:rFonts w:hint="eastAsia" w:ascii="宋体" w:hAnsi="宋体" w:cs="宋体"/>
                <w:kern w:val="0"/>
                <w:sz w:val="18"/>
                <w:szCs w:val="18"/>
                <w:lang w:eastAsia="en-US"/>
              </w:rPr>
              <w:t>柴油</w:t>
            </w:r>
          </w:p>
        </w:tc>
        <w:tc>
          <w:tcPr>
            <w:tcW w:w="1786"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r>
              <w:rPr>
                <w:rFonts w:hint="eastAsia" w:ascii="宋体" w:hAnsi="宋体" w:cs="宋体"/>
                <w:kern w:val="0"/>
                <w:sz w:val="18"/>
                <w:szCs w:val="18"/>
                <w:lang w:eastAsia="en-US"/>
              </w:rPr>
              <w:t>72.59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1575" w:type="dxa"/>
            <w:vMerge w:val="continue"/>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p>
        </w:tc>
        <w:tc>
          <w:tcPr>
            <w:tcW w:w="1412"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r>
              <w:rPr>
                <w:rFonts w:hint="eastAsia" w:ascii="宋体" w:hAnsi="宋体" w:cs="宋体"/>
                <w:kern w:val="0"/>
                <w:sz w:val="18"/>
                <w:szCs w:val="18"/>
                <w:lang w:eastAsia="en-US"/>
              </w:rPr>
              <w:t>型煤</w:t>
            </w:r>
          </w:p>
        </w:tc>
        <w:tc>
          <w:tcPr>
            <w:tcW w:w="1738"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ind w:right="630" w:rightChars="300"/>
              <w:jc w:val="right"/>
              <w:textAlignment w:val="auto"/>
              <w:rPr>
                <w:rFonts w:ascii="宋体" w:hAnsi="宋体" w:cs="宋体"/>
                <w:kern w:val="0"/>
                <w:sz w:val="18"/>
                <w:szCs w:val="18"/>
                <w:lang w:eastAsia="en-US"/>
              </w:rPr>
            </w:pPr>
            <w:r>
              <w:rPr>
                <w:rFonts w:hint="eastAsia" w:ascii="宋体" w:hAnsi="宋体" w:cs="宋体"/>
                <w:kern w:val="0"/>
                <w:sz w:val="18"/>
                <w:szCs w:val="18"/>
                <w:lang w:eastAsia="en-US"/>
              </w:rPr>
              <w:t>110.88</w:t>
            </w:r>
          </w:p>
        </w:tc>
        <w:tc>
          <w:tcPr>
            <w:tcW w:w="1575" w:type="dxa"/>
            <w:vMerge w:val="continue"/>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p>
        </w:tc>
        <w:tc>
          <w:tcPr>
            <w:tcW w:w="1365"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r>
              <w:rPr>
                <w:rFonts w:hint="eastAsia" w:ascii="宋体" w:hAnsi="宋体" w:cs="宋体"/>
                <w:kern w:val="0"/>
                <w:sz w:val="18"/>
                <w:szCs w:val="18"/>
                <w:lang w:eastAsia="en-US"/>
              </w:rPr>
              <w:t>喷气煤油</w:t>
            </w:r>
          </w:p>
        </w:tc>
        <w:tc>
          <w:tcPr>
            <w:tcW w:w="1786"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r>
              <w:rPr>
                <w:rFonts w:hint="eastAsia" w:ascii="宋体" w:hAnsi="宋体" w:cs="宋体"/>
                <w:kern w:val="0"/>
                <w:sz w:val="18"/>
                <w:szCs w:val="18"/>
                <w:lang w:eastAsia="en-US"/>
              </w:rPr>
              <w:t>70.07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1575" w:type="dxa"/>
            <w:vMerge w:val="continue"/>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p>
        </w:tc>
        <w:tc>
          <w:tcPr>
            <w:tcW w:w="1412"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r>
              <w:rPr>
                <w:rFonts w:hint="eastAsia" w:ascii="宋体" w:hAnsi="宋体" w:cs="宋体"/>
                <w:kern w:val="0"/>
                <w:sz w:val="18"/>
                <w:szCs w:val="18"/>
                <w:lang w:eastAsia="en-US"/>
              </w:rPr>
              <w:t>焦炭</w:t>
            </w:r>
          </w:p>
        </w:tc>
        <w:tc>
          <w:tcPr>
            <w:tcW w:w="1738"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ind w:right="630" w:rightChars="300"/>
              <w:jc w:val="right"/>
              <w:textAlignment w:val="auto"/>
              <w:rPr>
                <w:rFonts w:ascii="宋体" w:hAnsi="宋体" w:cs="宋体"/>
                <w:kern w:val="0"/>
                <w:sz w:val="18"/>
                <w:szCs w:val="18"/>
                <w:lang w:eastAsia="en-US"/>
              </w:rPr>
            </w:pPr>
            <w:r>
              <w:rPr>
                <w:rFonts w:hint="eastAsia" w:ascii="宋体" w:hAnsi="宋体" w:cs="宋体"/>
                <w:kern w:val="0"/>
                <w:sz w:val="18"/>
                <w:szCs w:val="18"/>
                <w:lang w:eastAsia="en-US"/>
              </w:rPr>
              <w:t>100.60</w:t>
            </w:r>
          </w:p>
        </w:tc>
        <w:tc>
          <w:tcPr>
            <w:tcW w:w="1575" w:type="dxa"/>
            <w:vMerge w:val="continue"/>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p>
        </w:tc>
        <w:tc>
          <w:tcPr>
            <w:tcW w:w="1365"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r>
              <w:rPr>
                <w:rFonts w:hint="eastAsia" w:ascii="宋体" w:hAnsi="宋体" w:cs="宋体"/>
                <w:kern w:val="0"/>
                <w:sz w:val="18"/>
                <w:szCs w:val="18"/>
                <w:lang w:eastAsia="en-US"/>
              </w:rPr>
              <w:t>一般煤油</w:t>
            </w:r>
          </w:p>
        </w:tc>
        <w:tc>
          <w:tcPr>
            <w:tcW w:w="1786"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r>
              <w:rPr>
                <w:rFonts w:hint="eastAsia" w:ascii="宋体" w:hAnsi="宋体" w:cs="宋体"/>
                <w:kern w:val="0"/>
                <w:sz w:val="18"/>
                <w:szCs w:val="18"/>
                <w:lang w:eastAsia="en-US"/>
              </w:rPr>
              <w:t>70.43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1575" w:type="dxa"/>
            <w:vMerge w:val="continue"/>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p>
        </w:tc>
        <w:tc>
          <w:tcPr>
            <w:tcW w:w="1412"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r>
              <w:rPr>
                <w:rFonts w:hint="eastAsia" w:ascii="宋体" w:hAnsi="宋体" w:cs="宋体"/>
                <w:kern w:val="0"/>
                <w:sz w:val="18"/>
                <w:szCs w:val="18"/>
                <w:lang w:eastAsia="en-US"/>
              </w:rPr>
              <w:t>其他焦化产品</w:t>
            </w:r>
          </w:p>
        </w:tc>
        <w:tc>
          <w:tcPr>
            <w:tcW w:w="1738"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ind w:right="630" w:rightChars="300"/>
              <w:jc w:val="right"/>
              <w:textAlignment w:val="auto"/>
              <w:rPr>
                <w:rFonts w:ascii="宋体" w:hAnsi="宋体" w:cs="宋体"/>
                <w:kern w:val="0"/>
                <w:sz w:val="18"/>
                <w:szCs w:val="18"/>
                <w:lang w:eastAsia="en-US"/>
              </w:rPr>
            </w:pPr>
            <w:r>
              <w:rPr>
                <w:rFonts w:hint="eastAsia" w:ascii="宋体" w:hAnsi="宋体" w:cs="宋体"/>
                <w:kern w:val="0"/>
                <w:sz w:val="18"/>
                <w:szCs w:val="18"/>
                <w:lang w:eastAsia="en-US"/>
              </w:rPr>
              <w:t>100.60</w:t>
            </w:r>
          </w:p>
        </w:tc>
        <w:tc>
          <w:tcPr>
            <w:tcW w:w="1575" w:type="dxa"/>
            <w:vMerge w:val="continue"/>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p>
        </w:tc>
        <w:tc>
          <w:tcPr>
            <w:tcW w:w="1365"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r>
              <w:rPr>
                <w:rFonts w:hint="eastAsia" w:ascii="宋体" w:hAnsi="宋体" w:cs="宋体"/>
                <w:kern w:val="0"/>
                <w:sz w:val="18"/>
                <w:szCs w:val="18"/>
                <w:lang w:eastAsia="en-US"/>
              </w:rPr>
              <w:t>NGL天然气凝液</w:t>
            </w:r>
          </w:p>
        </w:tc>
        <w:tc>
          <w:tcPr>
            <w:tcW w:w="1786"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r>
              <w:rPr>
                <w:rFonts w:hint="eastAsia" w:ascii="宋体" w:hAnsi="宋体" w:cs="宋体"/>
                <w:kern w:val="0"/>
                <w:sz w:val="18"/>
                <w:szCs w:val="18"/>
                <w:lang w:eastAsia="en-US"/>
              </w:rPr>
              <w:t>61.81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1575" w:type="dxa"/>
            <w:vMerge w:val="restart"/>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r>
              <w:rPr>
                <w:rFonts w:hint="eastAsia" w:ascii="宋体" w:hAnsi="宋体" w:cs="宋体"/>
                <w:kern w:val="0"/>
                <w:sz w:val="18"/>
                <w:szCs w:val="18"/>
                <w:lang w:eastAsia="en-US"/>
              </w:rPr>
              <w:t>液体燃料</w:t>
            </w:r>
          </w:p>
        </w:tc>
        <w:tc>
          <w:tcPr>
            <w:tcW w:w="1412"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r>
              <w:rPr>
                <w:rFonts w:hint="eastAsia" w:ascii="宋体" w:hAnsi="宋体" w:cs="宋体"/>
                <w:kern w:val="0"/>
                <w:sz w:val="18"/>
                <w:szCs w:val="18"/>
                <w:lang w:eastAsia="en-US"/>
              </w:rPr>
              <w:t>炼厂干气</w:t>
            </w:r>
          </w:p>
        </w:tc>
        <w:tc>
          <w:tcPr>
            <w:tcW w:w="1738"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ind w:right="630" w:rightChars="300"/>
              <w:jc w:val="right"/>
              <w:textAlignment w:val="auto"/>
              <w:rPr>
                <w:rFonts w:ascii="宋体" w:hAnsi="宋体" w:cs="宋体"/>
                <w:kern w:val="0"/>
                <w:sz w:val="18"/>
                <w:szCs w:val="18"/>
                <w:lang w:eastAsia="en-US"/>
              </w:rPr>
            </w:pPr>
            <w:r>
              <w:rPr>
                <w:rFonts w:hint="eastAsia" w:ascii="宋体" w:hAnsi="宋体" w:cs="宋体"/>
                <w:kern w:val="0"/>
                <w:sz w:val="18"/>
                <w:szCs w:val="18"/>
                <w:lang w:eastAsia="en-US"/>
              </w:rPr>
              <w:t>65.40</w:t>
            </w:r>
          </w:p>
        </w:tc>
        <w:tc>
          <w:tcPr>
            <w:tcW w:w="1575" w:type="dxa"/>
            <w:vMerge w:val="restart"/>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r>
              <w:rPr>
                <w:rFonts w:hint="eastAsia" w:ascii="宋体" w:hAnsi="宋体" w:cs="宋体"/>
                <w:kern w:val="0"/>
                <w:sz w:val="18"/>
                <w:szCs w:val="18"/>
                <w:lang w:eastAsia="en-US"/>
              </w:rPr>
              <w:t>液体燃料</w:t>
            </w:r>
          </w:p>
        </w:tc>
        <w:tc>
          <w:tcPr>
            <w:tcW w:w="1365"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r>
              <w:rPr>
                <w:rFonts w:hint="eastAsia" w:ascii="宋体" w:hAnsi="宋体" w:cs="宋体"/>
                <w:kern w:val="0"/>
                <w:sz w:val="18"/>
                <w:szCs w:val="18"/>
                <w:lang w:eastAsia="en-US"/>
              </w:rPr>
              <w:t>LPG液化石油气</w:t>
            </w:r>
          </w:p>
        </w:tc>
        <w:tc>
          <w:tcPr>
            <w:tcW w:w="1786"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r>
              <w:rPr>
                <w:rFonts w:hint="eastAsia" w:ascii="宋体" w:hAnsi="宋体" w:cs="宋体"/>
                <w:kern w:val="0"/>
                <w:sz w:val="18"/>
                <w:szCs w:val="18"/>
                <w:lang w:eastAsia="en-US"/>
              </w:rPr>
              <w:t>61.81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1575" w:type="dxa"/>
            <w:vMerge w:val="continue"/>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p>
        </w:tc>
        <w:tc>
          <w:tcPr>
            <w:tcW w:w="1412"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r>
              <w:rPr>
                <w:rFonts w:hint="eastAsia" w:ascii="宋体" w:hAnsi="宋体" w:cs="宋体"/>
                <w:kern w:val="0"/>
                <w:sz w:val="18"/>
                <w:szCs w:val="18"/>
                <w:lang w:eastAsia="en-US"/>
              </w:rPr>
              <w:t>石脑油</w:t>
            </w:r>
          </w:p>
        </w:tc>
        <w:tc>
          <w:tcPr>
            <w:tcW w:w="1738"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ind w:right="630" w:rightChars="300"/>
              <w:jc w:val="right"/>
              <w:textAlignment w:val="auto"/>
              <w:rPr>
                <w:rFonts w:ascii="宋体" w:hAnsi="宋体" w:cs="宋体"/>
                <w:kern w:val="0"/>
                <w:sz w:val="18"/>
                <w:szCs w:val="18"/>
                <w:lang w:eastAsia="en-US"/>
              </w:rPr>
            </w:pPr>
            <w:r>
              <w:rPr>
                <w:rFonts w:hint="eastAsia" w:ascii="宋体" w:hAnsi="宋体" w:cs="宋体"/>
                <w:kern w:val="0"/>
                <w:sz w:val="18"/>
                <w:szCs w:val="18"/>
                <w:lang w:eastAsia="en-US"/>
              </w:rPr>
              <w:t>71.87</w:t>
            </w:r>
          </w:p>
        </w:tc>
        <w:tc>
          <w:tcPr>
            <w:tcW w:w="1575" w:type="dxa"/>
            <w:vMerge w:val="continue"/>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p>
        </w:tc>
        <w:tc>
          <w:tcPr>
            <w:tcW w:w="1365"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r>
              <w:rPr>
                <w:rFonts w:hint="eastAsia" w:ascii="宋体" w:hAnsi="宋体" w:cs="宋体"/>
                <w:kern w:val="0"/>
                <w:sz w:val="18"/>
                <w:szCs w:val="18"/>
                <w:lang w:eastAsia="en-US"/>
              </w:rPr>
              <w:t>石油焦</w:t>
            </w:r>
          </w:p>
        </w:tc>
        <w:tc>
          <w:tcPr>
            <w:tcW w:w="1786"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r>
              <w:rPr>
                <w:rFonts w:hint="eastAsia" w:ascii="宋体" w:hAnsi="宋体" w:cs="宋体"/>
                <w:kern w:val="0"/>
                <w:sz w:val="18"/>
                <w:szCs w:val="18"/>
                <w:lang w:eastAsia="en-US"/>
              </w:rPr>
              <w:t>98.82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1575" w:type="dxa"/>
            <w:vMerge w:val="continue"/>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p>
        </w:tc>
        <w:tc>
          <w:tcPr>
            <w:tcW w:w="1412"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r>
              <w:rPr>
                <w:rFonts w:hint="eastAsia" w:ascii="宋体" w:hAnsi="宋体" w:cs="宋体"/>
                <w:kern w:val="0"/>
                <w:sz w:val="18"/>
                <w:szCs w:val="18"/>
                <w:lang w:eastAsia="en-US"/>
              </w:rPr>
              <w:t>沥青</w:t>
            </w:r>
          </w:p>
        </w:tc>
        <w:tc>
          <w:tcPr>
            <w:tcW w:w="1738"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ind w:right="630" w:rightChars="300"/>
              <w:jc w:val="right"/>
              <w:textAlignment w:val="auto"/>
              <w:rPr>
                <w:rFonts w:ascii="宋体" w:hAnsi="宋体" w:cs="宋体"/>
                <w:kern w:val="0"/>
                <w:sz w:val="18"/>
                <w:szCs w:val="18"/>
                <w:lang w:eastAsia="en-US"/>
              </w:rPr>
            </w:pPr>
            <w:r>
              <w:rPr>
                <w:rFonts w:hint="eastAsia" w:ascii="宋体" w:hAnsi="宋体" w:cs="宋体"/>
                <w:kern w:val="0"/>
                <w:sz w:val="18"/>
                <w:szCs w:val="18"/>
                <w:lang w:eastAsia="en-US"/>
              </w:rPr>
              <w:t>79.05</w:t>
            </w:r>
          </w:p>
        </w:tc>
        <w:tc>
          <w:tcPr>
            <w:tcW w:w="1575" w:type="dxa"/>
            <w:vMerge w:val="continue"/>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p>
        </w:tc>
        <w:tc>
          <w:tcPr>
            <w:tcW w:w="1365"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r>
              <w:rPr>
                <w:rFonts w:hint="eastAsia" w:ascii="宋体" w:hAnsi="宋体" w:cs="宋体"/>
                <w:kern w:val="0"/>
                <w:sz w:val="18"/>
                <w:szCs w:val="18"/>
                <w:lang w:eastAsia="en-US"/>
              </w:rPr>
              <w:t>石化原料油</w:t>
            </w:r>
          </w:p>
        </w:tc>
        <w:tc>
          <w:tcPr>
            <w:tcW w:w="1786"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r>
              <w:rPr>
                <w:rFonts w:hint="eastAsia" w:ascii="宋体" w:hAnsi="宋体" w:cs="宋体"/>
                <w:kern w:val="0"/>
                <w:sz w:val="18"/>
                <w:szCs w:val="18"/>
                <w:lang w:eastAsia="en-US"/>
              </w:rPr>
              <w:t>71.87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1575" w:type="dxa"/>
            <w:vMerge w:val="continue"/>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p>
        </w:tc>
        <w:tc>
          <w:tcPr>
            <w:tcW w:w="1412"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r>
              <w:rPr>
                <w:rFonts w:hint="eastAsia" w:ascii="宋体" w:hAnsi="宋体" w:cs="宋体"/>
                <w:kern w:val="0"/>
                <w:sz w:val="18"/>
                <w:szCs w:val="18"/>
                <w:lang w:eastAsia="en-US"/>
              </w:rPr>
              <w:t>润滑油</w:t>
            </w:r>
          </w:p>
        </w:tc>
        <w:tc>
          <w:tcPr>
            <w:tcW w:w="1738"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ind w:right="630" w:rightChars="300"/>
              <w:jc w:val="right"/>
              <w:textAlignment w:val="auto"/>
              <w:rPr>
                <w:rFonts w:ascii="宋体" w:hAnsi="宋体" w:cs="宋体"/>
                <w:kern w:val="0"/>
                <w:sz w:val="18"/>
                <w:szCs w:val="18"/>
                <w:lang w:eastAsia="en-US"/>
              </w:rPr>
            </w:pPr>
            <w:r>
              <w:rPr>
                <w:rFonts w:hint="eastAsia" w:ascii="宋体" w:hAnsi="宋体" w:cs="宋体"/>
                <w:kern w:val="0"/>
                <w:sz w:val="18"/>
                <w:szCs w:val="18"/>
                <w:lang w:eastAsia="en-US"/>
              </w:rPr>
              <w:t>71.87</w:t>
            </w:r>
          </w:p>
        </w:tc>
        <w:tc>
          <w:tcPr>
            <w:tcW w:w="1575" w:type="dxa"/>
            <w:vMerge w:val="continue"/>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p>
        </w:tc>
        <w:tc>
          <w:tcPr>
            <w:tcW w:w="1365"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r>
              <w:rPr>
                <w:rFonts w:hint="eastAsia" w:ascii="宋体" w:hAnsi="宋体" w:cs="宋体"/>
                <w:kern w:val="0"/>
                <w:sz w:val="18"/>
                <w:szCs w:val="18"/>
                <w:lang w:eastAsia="en-US"/>
              </w:rPr>
              <w:t>其他油品</w:t>
            </w:r>
          </w:p>
        </w:tc>
        <w:tc>
          <w:tcPr>
            <w:tcW w:w="1786" w:type="dxa"/>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r>
              <w:rPr>
                <w:rFonts w:hint="eastAsia" w:ascii="宋体" w:hAnsi="宋体" w:cs="宋体"/>
                <w:kern w:val="0"/>
                <w:sz w:val="18"/>
                <w:szCs w:val="18"/>
                <w:lang w:eastAsia="en-US"/>
              </w:rPr>
              <w:t>71.87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1575" w:type="dxa"/>
            <w:tcBorders>
              <w:bottom w:val="single" w:color="auto" w:sz="8" w:space="0"/>
            </w:tcBorders>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r>
              <w:rPr>
                <w:rFonts w:hint="eastAsia" w:ascii="宋体" w:hAnsi="宋体" w:cs="宋体"/>
                <w:kern w:val="0"/>
                <w:sz w:val="18"/>
                <w:szCs w:val="18"/>
                <w:lang w:eastAsia="en-US"/>
              </w:rPr>
              <w:t>气体燃料</w:t>
            </w:r>
          </w:p>
        </w:tc>
        <w:tc>
          <w:tcPr>
            <w:tcW w:w="1412" w:type="dxa"/>
            <w:tcBorders>
              <w:bottom w:val="single" w:color="auto" w:sz="8" w:space="0"/>
            </w:tcBorders>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r>
              <w:rPr>
                <w:rFonts w:hint="eastAsia" w:ascii="宋体" w:hAnsi="宋体" w:cs="宋体"/>
                <w:kern w:val="0"/>
                <w:sz w:val="18"/>
                <w:szCs w:val="18"/>
                <w:lang w:eastAsia="en-US"/>
              </w:rPr>
              <w:t>天然气</w:t>
            </w:r>
          </w:p>
        </w:tc>
        <w:tc>
          <w:tcPr>
            <w:tcW w:w="1738" w:type="dxa"/>
            <w:tcBorders>
              <w:bottom w:val="single" w:color="auto" w:sz="8" w:space="0"/>
            </w:tcBorders>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ind w:right="630" w:rightChars="300"/>
              <w:jc w:val="right"/>
              <w:textAlignment w:val="auto"/>
              <w:rPr>
                <w:rFonts w:ascii="宋体" w:hAnsi="宋体" w:cs="宋体"/>
                <w:kern w:val="0"/>
                <w:sz w:val="18"/>
                <w:szCs w:val="18"/>
                <w:lang w:eastAsia="en-US"/>
              </w:rPr>
            </w:pPr>
            <w:r>
              <w:rPr>
                <w:rFonts w:hint="eastAsia" w:ascii="宋体" w:hAnsi="宋体" w:cs="宋体"/>
                <w:kern w:val="0"/>
                <w:sz w:val="18"/>
                <w:szCs w:val="18"/>
                <w:lang w:eastAsia="en-US"/>
              </w:rPr>
              <w:t>55.54</w:t>
            </w:r>
          </w:p>
        </w:tc>
        <w:tc>
          <w:tcPr>
            <w:tcW w:w="1575" w:type="dxa"/>
            <w:tcBorders>
              <w:bottom w:val="single" w:color="auto" w:sz="8" w:space="0"/>
            </w:tcBorders>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r>
              <w:rPr>
                <w:rFonts w:hint="eastAsia" w:ascii="宋体" w:hAnsi="宋体" w:cs="宋体"/>
                <w:kern w:val="0"/>
                <w:sz w:val="18"/>
                <w:szCs w:val="18"/>
                <w:lang w:eastAsia="en-US"/>
              </w:rPr>
              <w:t>--</w:t>
            </w:r>
          </w:p>
        </w:tc>
        <w:tc>
          <w:tcPr>
            <w:tcW w:w="1365" w:type="dxa"/>
            <w:tcBorders>
              <w:bottom w:val="single" w:color="auto" w:sz="8" w:space="0"/>
            </w:tcBorders>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r>
              <w:rPr>
                <w:rFonts w:hint="eastAsia" w:ascii="宋体" w:hAnsi="宋体" w:cs="宋体"/>
                <w:kern w:val="0"/>
                <w:sz w:val="18"/>
                <w:szCs w:val="18"/>
                <w:lang w:eastAsia="en-US"/>
              </w:rPr>
              <w:t>--</w:t>
            </w:r>
          </w:p>
        </w:tc>
        <w:tc>
          <w:tcPr>
            <w:tcW w:w="1786" w:type="dxa"/>
            <w:tcBorders>
              <w:bottom w:val="single" w:color="auto" w:sz="8" w:space="0"/>
            </w:tcBorders>
            <w:vAlign w:val="center"/>
          </w:tcPr>
          <w:p>
            <w:pPr>
              <w:keepNext w:val="0"/>
              <w:keepLines w:val="0"/>
              <w:pageBreakBefore w:val="0"/>
              <w:numPr>
                <w:ilvl w:val="255"/>
                <w:numId w:val="0"/>
              </w:numPr>
              <w:kinsoku/>
              <w:wordWrap/>
              <w:overflowPunct/>
              <w:topLinePunct w:val="0"/>
              <w:autoSpaceDE w:val="0"/>
              <w:autoSpaceDN w:val="0"/>
              <w:bidi w:val="0"/>
              <w:adjustRightInd/>
              <w:snapToGrid w:val="0"/>
              <w:spacing w:line="240" w:lineRule="auto"/>
              <w:jc w:val="center"/>
              <w:textAlignment w:val="auto"/>
              <w:rPr>
                <w:rFonts w:ascii="宋体" w:hAnsi="宋体" w:cs="宋体"/>
                <w:kern w:val="0"/>
                <w:sz w:val="18"/>
                <w:szCs w:val="18"/>
                <w:lang w:eastAsia="en-US"/>
              </w:rPr>
            </w:pPr>
            <w:r>
              <w:rPr>
                <w:rFonts w:hint="eastAsia" w:ascii="宋体" w:hAnsi="宋体" w:cs="宋体"/>
                <w:kern w:val="0"/>
                <w:sz w:val="18"/>
                <w:szCs w:val="18"/>
                <w:lang w:eastAsia="en-US"/>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9451" w:type="dxa"/>
            <w:gridSpan w:val="6"/>
            <w:tcBorders>
              <w:top w:val="single" w:color="auto" w:sz="8" w:space="0"/>
              <w:bottom w:val="single" w:color="auto" w:sz="8" w:space="0"/>
            </w:tcBorders>
            <w:vAlign w:val="center"/>
          </w:tcPr>
          <w:p>
            <w:pPr>
              <w:keepNext w:val="0"/>
              <w:keepLines w:val="0"/>
              <w:pageBreakBefore w:val="0"/>
              <w:numPr>
                <w:ilvl w:val="255"/>
                <w:numId w:val="0"/>
              </w:numPr>
              <w:tabs>
                <w:tab w:val="left" w:pos="979"/>
              </w:tabs>
              <w:kinsoku/>
              <w:wordWrap/>
              <w:overflowPunct/>
              <w:topLinePunct w:val="0"/>
              <w:autoSpaceDE w:val="0"/>
              <w:autoSpaceDN w:val="0"/>
              <w:bidi w:val="0"/>
              <w:adjustRightInd/>
              <w:snapToGrid w:val="0"/>
              <w:spacing w:line="240" w:lineRule="auto"/>
              <w:ind w:firstLine="360" w:firstLineChars="200"/>
              <w:jc w:val="left"/>
              <w:textAlignment w:val="auto"/>
              <w:rPr>
                <w:rFonts w:ascii="宋体" w:hAnsi="宋体" w:cs="宋体"/>
                <w:kern w:val="0"/>
                <w:sz w:val="18"/>
                <w:szCs w:val="18"/>
                <w:lang w:eastAsia="en-US"/>
              </w:rPr>
            </w:pPr>
            <w:r>
              <w:rPr>
                <w:rFonts w:hint="eastAsia" w:ascii="宋体" w:hAnsi="宋体" w:cs="宋体"/>
                <w:bCs/>
                <w:kern w:val="0"/>
                <w:sz w:val="18"/>
                <w:szCs w:val="18"/>
                <w:lang w:eastAsia="en-US" w:bidi="ar"/>
              </w:rPr>
              <w:t>注：数据来源于《建筑碳排放计算标准》（GB/T 51366-2019）</w:t>
            </w:r>
          </w:p>
        </w:tc>
      </w:tr>
    </w:tbl>
    <w:p>
      <w:pPr>
        <w:keepNext w:val="0"/>
        <w:keepLines w:val="0"/>
        <w:pageBreakBefore w:val="0"/>
        <w:widowControl/>
        <w:numPr>
          <w:ilvl w:val="255"/>
          <w:numId w:val="0"/>
        </w:numPr>
        <w:kinsoku/>
        <w:wordWrap/>
        <w:overflowPunct/>
        <w:topLinePunct w:val="0"/>
        <w:bidi w:val="0"/>
        <w:adjustRightInd/>
        <w:spacing w:line="240" w:lineRule="auto"/>
        <w:ind w:left="426" w:hanging="426" w:hangingChars="202"/>
        <w:jc w:val="left"/>
        <w:textAlignment w:val="auto"/>
        <w:rPr>
          <w:rFonts w:ascii="宋体" w:hAnsi="宋体" w:cs="宋体"/>
          <w:bCs/>
          <w:kern w:val="0"/>
        </w:rPr>
      </w:pPr>
      <w:r>
        <w:rPr>
          <w:rFonts w:ascii="宋体" w:hAnsi="宋体" w:cs="宋体"/>
          <w:b/>
          <w:bCs/>
          <w:kern w:val="0"/>
        </w:rPr>
        <w:t>B</w:t>
      </w:r>
      <w:r>
        <w:rPr>
          <w:rFonts w:hint="eastAsia" w:ascii="宋体" w:hAnsi="宋体" w:cs="宋体"/>
          <w:b/>
          <w:bCs/>
          <w:kern w:val="0"/>
        </w:rPr>
        <w:t>.4</w:t>
      </w:r>
      <w:r>
        <w:rPr>
          <w:rFonts w:ascii="宋体" w:hAnsi="宋体" w:cs="宋体"/>
          <w:b/>
          <w:bCs/>
          <w:kern w:val="0"/>
        </w:rPr>
        <w:t xml:space="preserve">.2 </w:t>
      </w:r>
      <w:r>
        <w:rPr>
          <w:rFonts w:hint="eastAsia" w:ascii="宋体" w:hAnsi="宋体" w:cs="宋体"/>
          <w:bCs/>
          <w:kern w:val="0"/>
        </w:rPr>
        <w:t>电力和热力</w:t>
      </w:r>
      <w:r>
        <w:rPr>
          <w:rFonts w:hint="eastAsia" w:ascii="宋体" w:hAnsi="宋体" w:cs="宋体"/>
          <w:kern w:val="0"/>
        </w:rPr>
        <w:t>碳排放量</w:t>
      </w:r>
      <w:r>
        <w:rPr>
          <w:rFonts w:hint="eastAsia" w:ascii="宋体" w:hAnsi="宋体" w:cs="宋体"/>
          <w:bCs/>
          <w:kern w:val="0"/>
        </w:rPr>
        <w:t>应按下</w:t>
      </w:r>
      <w:r>
        <w:rPr>
          <w:rFonts w:hint="eastAsia" w:ascii="宋体" w:hAnsi="宋体" w:cs="宋体"/>
          <w:bCs/>
          <w:kern w:val="0"/>
          <w:lang w:val="en-US" w:eastAsia="zh-CN"/>
        </w:rPr>
        <w:t>列公</w:t>
      </w:r>
      <w:r>
        <w:rPr>
          <w:rFonts w:hint="eastAsia" w:ascii="宋体" w:hAnsi="宋体" w:cs="宋体"/>
          <w:bCs/>
          <w:kern w:val="0"/>
        </w:rPr>
        <w:t>式计算：</w:t>
      </w:r>
    </w:p>
    <w:p>
      <w:pPr>
        <w:keepNext w:val="0"/>
        <w:keepLines w:val="0"/>
        <w:pageBreakBefore w:val="0"/>
        <w:widowControl/>
        <w:numPr>
          <w:ilvl w:val="255"/>
          <w:numId w:val="0"/>
        </w:numPr>
        <w:tabs>
          <w:tab w:val="center" w:pos="4150"/>
          <w:tab w:val="right" w:pos="8301"/>
        </w:tabs>
        <w:kinsoku/>
        <w:wordWrap/>
        <w:overflowPunct/>
        <w:topLinePunct w:val="0"/>
        <w:bidi w:val="0"/>
        <w:adjustRightInd/>
        <w:spacing w:line="240" w:lineRule="auto"/>
        <w:ind w:firstLine="2100" w:firstLineChars="1000"/>
        <w:jc w:val="right"/>
        <w:textAlignment w:val="auto"/>
        <w:rPr>
          <w:rFonts w:ascii="宋体" w:hAnsi="宋体" w:cs="宋体"/>
          <w:kern w:val="0"/>
        </w:rPr>
      </w:pPr>
      <m:oMath>
        <m:sSub>
          <m:sSubPr>
            <m:ctrlPr>
              <w:rPr>
                <w:rFonts w:hint="eastAsia" w:ascii="Cambria Math" w:hAnsi="Cambria Math" w:cs="宋体"/>
                <w:kern w:val="0"/>
              </w:rPr>
            </m:ctrlPr>
          </m:sSubPr>
          <m:e>
            <m:r>
              <m:rPr/>
              <w:rPr>
                <w:rFonts w:hint="eastAsia" w:ascii="Cambria Math" w:hAnsi="Cambria Math" w:cs="宋体"/>
                <w:kern w:val="0"/>
              </w:rPr>
              <m:t>E</m:t>
            </m:r>
            <m:ctrlPr>
              <w:rPr>
                <w:rFonts w:hint="eastAsia" w:ascii="Cambria Math" w:hAnsi="Cambria Math" w:cs="宋体"/>
                <w:kern w:val="0"/>
              </w:rPr>
            </m:ctrlPr>
          </m:e>
          <m:sub>
            <m:r>
              <m:rPr/>
              <w:rPr>
                <w:rFonts w:hint="eastAsia" w:ascii="Cambria Math" w:hAnsi="Cambria Math" w:cs="宋体"/>
                <w:kern w:val="0"/>
              </w:rPr>
              <m:t>电力</m:t>
            </m:r>
            <m:ctrlPr>
              <w:rPr>
                <w:rFonts w:hint="eastAsia" w:ascii="Cambria Math" w:hAnsi="Cambria Math" w:cs="宋体"/>
                <w:kern w:val="0"/>
              </w:rPr>
            </m:ctrlPr>
          </m:sub>
        </m:sSub>
        <m:r>
          <m:rPr>
            <m:sty m:val="p"/>
          </m:rPr>
          <w:rPr>
            <w:rFonts w:hint="eastAsia" w:ascii="Cambria Math" w:hAnsi="Cambria Math" w:cs="宋体"/>
            <w:kern w:val="0"/>
          </w:rPr>
          <m:t>=</m:t>
        </m:r>
        <m:sSub>
          <m:sSubPr>
            <m:ctrlPr>
              <w:rPr>
                <w:rFonts w:hint="eastAsia" w:ascii="Cambria Math" w:hAnsi="Cambria Math" w:cs="宋体"/>
                <w:kern w:val="0"/>
              </w:rPr>
            </m:ctrlPr>
          </m:sSubPr>
          <m:e>
            <m:r>
              <m:rPr/>
              <w:rPr>
                <w:rFonts w:hint="eastAsia" w:ascii="Cambria Math" w:hAnsi="Cambria Math" w:cs="宋体"/>
                <w:kern w:val="0"/>
              </w:rPr>
              <m:t>AD</m:t>
            </m:r>
            <m:ctrlPr>
              <w:rPr>
                <w:rFonts w:hint="eastAsia" w:ascii="Cambria Math" w:hAnsi="Cambria Math" w:cs="宋体"/>
                <w:kern w:val="0"/>
              </w:rPr>
            </m:ctrlPr>
          </m:e>
          <m:sub>
            <m:r>
              <m:rPr/>
              <w:rPr>
                <w:rFonts w:hint="eastAsia" w:ascii="Cambria Math" w:hAnsi="Cambria Math" w:cs="宋体"/>
                <w:kern w:val="0"/>
              </w:rPr>
              <m:t>e</m:t>
            </m:r>
            <m:ctrlPr>
              <w:rPr>
                <w:rFonts w:hint="eastAsia" w:ascii="Cambria Math" w:hAnsi="Cambria Math" w:cs="宋体"/>
                <w:kern w:val="0"/>
              </w:rPr>
            </m:ctrlPr>
          </m:sub>
        </m:sSub>
        <m:r>
          <m:rPr>
            <m:sty m:val="p"/>
          </m:rPr>
          <w:rPr>
            <w:rFonts w:hint="eastAsia" w:ascii="Cambria Math" w:hAnsi="Cambria Math" w:cs="宋体"/>
            <w:kern w:val="0"/>
          </w:rPr>
          <m:t>×</m:t>
        </m:r>
        <m:sSub>
          <m:sSubPr>
            <m:ctrlPr>
              <w:rPr>
                <w:rFonts w:hint="eastAsia" w:ascii="Cambria Math" w:hAnsi="Cambria Math" w:cs="宋体"/>
                <w:kern w:val="0"/>
              </w:rPr>
            </m:ctrlPr>
          </m:sSubPr>
          <m:e>
            <m:r>
              <m:rPr/>
              <w:rPr>
                <w:rFonts w:hint="eastAsia" w:ascii="Cambria Math" w:hAnsi="Cambria Math" w:cs="宋体"/>
                <w:kern w:val="0"/>
              </w:rPr>
              <m:t>EF</m:t>
            </m:r>
            <m:ctrlPr>
              <w:rPr>
                <w:rFonts w:hint="eastAsia" w:ascii="Cambria Math" w:hAnsi="Cambria Math" w:cs="宋体"/>
                <w:kern w:val="0"/>
              </w:rPr>
            </m:ctrlPr>
          </m:e>
          <m:sub>
            <m:r>
              <m:rPr/>
              <w:rPr>
                <w:rFonts w:hint="eastAsia" w:ascii="Cambria Math" w:hAnsi="Cambria Math" w:cs="宋体"/>
                <w:kern w:val="0"/>
              </w:rPr>
              <m:t>e</m:t>
            </m:r>
            <m:ctrlPr>
              <w:rPr>
                <w:rFonts w:hint="eastAsia" w:ascii="Cambria Math" w:hAnsi="Cambria Math" w:cs="宋体"/>
                <w:kern w:val="0"/>
              </w:rPr>
            </m:ctrlPr>
          </m:sub>
        </m:sSub>
      </m:oMath>
      <w:r>
        <w:rPr>
          <w:rFonts w:hint="eastAsia" w:ascii="宋体" w:hAnsi="宋体" w:cs="宋体"/>
          <w:kern w:val="0"/>
        </w:rPr>
        <w:t xml:space="preserve">      </w:t>
      </w:r>
      <w:r>
        <w:rPr>
          <w:rFonts w:ascii="宋体" w:hAnsi="宋体" w:cs="宋体"/>
          <w:kern w:val="0"/>
        </w:rPr>
        <w:t xml:space="preserve">                </w:t>
      </w:r>
      <w:r>
        <w:rPr>
          <w:rFonts w:hint="eastAsia" w:ascii="宋体" w:hAnsi="宋体" w:cs="宋体"/>
          <w:kern w:val="0"/>
        </w:rPr>
        <w:t xml:space="preserve">         （</w:t>
      </w:r>
      <w:r>
        <w:rPr>
          <w:rFonts w:ascii="宋体" w:hAnsi="宋体" w:cs="宋体"/>
          <w:bCs/>
          <w:kern w:val="0"/>
        </w:rPr>
        <w:t>7</w:t>
      </w:r>
      <w:r>
        <w:rPr>
          <w:rFonts w:hint="eastAsia" w:ascii="宋体" w:hAnsi="宋体" w:cs="宋体"/>
          <w:kern w:val="0"/>
        </w:rPr>
        <w:t>）</w:t>
      </w:r>
    </w:p>
    <w:p>
      <w:pPr>
        <w:keepNext w:val="0"/>
        <w:keepLines w:val="0"/>
        <w:pageBreakBefore w:val="0"/>
        <w:widowControl/>
        <w:numPr>
          <w:ilvl w:val="255"/>
          <w:numId w:val="0"/>
        </w:numPr>
        <w:tabs>
          <w:tab w:val="center" w:pos="4150"/>
          <w:tab w:val="right" w:pos="8301"/>
        </w:tabs>
        <w:kinsoku/>
        <w:wordWrap/>
        <w:overflowPunct/>
        <w:topLinePunct w:val="0"/>
        <w:bidi w:val="0"/>
        <w:adjustRightInd/>
        <w:spacing w:line="240" w:lineRule="auto"/>
        <w:ind w:left="851" w:hanging="426"/>
        <w:jc w:val="right"/>
        <w:textAlignment w:val="auto"/>
        <w:rPr>
          <w:rFonts w:ascii="宋体" w:hAnsi="宋体" w:cs="宋体"/>
          <w:kern w:val="0"/>
        </w:rPr>
      </w:pPr>
      <w:r>
        <w:rPr>
          <w:rFonts w:hint="eastAsia" w:ascii="宋体" w:hAnsi="宋体" w:cs="宋体"/>
          <w:kern w:val="0"/>
        </w:rPr>
        <w:tab/>
      </w:r>
      <w:r>
        <w:rPr>
          <w:rFonts w:hint="eastAsia" w:ascii="宋体" w:hAnsi="宋体" w:cs="宋体"/>
          <w:kern w:val="0"/>
        </w:rPr>
        <w:t xml:space="preserve">                    </w:t>
      </w:r>
      <m:oMath>
        <m:sSub>
          <m:sSubPr>
            <m:ctrlPr>
              <w:rPr>
                <w:rFonts w:hint="eastAsia" w:ascii="Cambria Math" w:hAnsi="Cambria Math" w:cs="宋体"/>
                <w:kern w:val="0"/>
              </w:rPr>
            </m:ctrlPr>
          </m:sSubPr>
          <m:e>
            <m:r>
              <m:rPr/>
              <w:rPr>
                <w:rFonts w:hint="eastAsia" w:ascii="Cambria Math" w:hAnsi="Cambria Math" w:cs="宋体"/>
                <w:kern w:val="0"/>
              </w:rPr>
              <m:t>E</m:t>
            </m:r>
            <m:ctrlPr>
              <w:rPr>
                <w:rFonts w:hint="eastAsia" w:ascii="Cambria Math" w:hAnsi="Cambria Math" w:cs="宋体"/>
                <w:kern w:val="0"/>
              </w:rPr>
            </m:ctrlPr>
          </m:e>
          <m:sub>
            <m:r>
              <m:rPr/>
              <w:rPr>
                <w:rFonts w:hint="eastAsia" w:ascii="Cambria Math" w:hAnsi="Cambria Math" w:cs="宋体"/>
                <w:kern w:val="0"/>
              </w:rPr>
              <m:t>热力</m:t>
            </m:r>
            <m:ctrlPr>
              <w:rPr>
                <w:rFonts w:hint="eastAsia" w:ascii="Cambria Math" w:hAnsi="Cambria Math" w:cs="宋体"/>
                <w:kern w:val="0"/>
              </w:rPr>
            </m:ctrlPr>
          </m:sub>
        </m:sSub>
        <m:r>
          <m:rPr>
            <m:sty m:val="p"/>
          </m:rPr>
          <w:rPr>
            <w:rFonts w:hint="eastAsia" w:ascii="Cambria Math" w:hAnsi="Cambria Math" w:cs="宋体"/>
            <w:kern w:val="0"/>
          </w:rPr>
          <m:t>=</m:t>
        </m:r>
        <m:sSub>
          <m:sSubPr>
            <m:ctrlPr>
              <w:rPr>
                <w:rFonts w:hint="eastAsia" w:ascii="Cambria Math" w:hAnsi="Cambria Math" w:cs="宋体"/>
                <w:kern w:val="0"/>
              </w:rPr>
            </m:ctrlPr>
          </m:sSubPr>
          <m:e>
            <m:r>
              <m:rPr/>
              <w:rPr>
                <w:rFonts w:hint="eastAsia" w:ascii="Cambria Math" w:hAnsi="Cambria Math" w:cs="宋体"/>
                <w:kern w:val="0"/>
              </w:rPr>
              <m:t>AD</m:t>
            </m:r>
            <m:ctrlPr>
              <w:rPr>
                <w:rFonts w:hint="eastAsia" w:ascii="Cambria Math" w:hAnsi="Cambria Math" w:cs="宋体"/>
                <w:kern w:val="0"/>
              </w:rPr>
            </m:ctrlPr>
          </m:e>
          <m:sub>
            <m:r>
              <m:rPr/>
              <w:rPr>
                <w:rFonts w:hint="eastAsia" w:ascii="Cambria Math" w:hAnsi="Cambria Math" w:cs="宋体"/>
                <w:kern w:val="0"/>
              </w:rPr>
              <m:t>ℎ</m:t>
            </m:r>
            <m:ctrlPr>
              <w:rPr>
                <w:rFonts w:hint="eastAsia" w:ascii="Cambria Math" w:hAnsi="Cambria Math" w:cs="宋体"/>
                <w:kern w:val="0"/>
              </w:rPr>
            </m:ctrlPr>
          </m:sub>
        </m:sSub>
        <m:r>
          <m:rPr>
            <m:sty m:val="p"/>
          </m:rPr>
          <w:rPr>
            <w:rFonts w:hint="eastAsia" w:ascii="Cambria Math" w:hAnsi="Cambria Math" w:cs="宋体"/>
            <w:kern w:val="0"/>
          </w:rPr>
          <m:t>×</m:t>
        </m:r>
        <m:sSub>
          <m:sSubPr>
            <m:ctrlPr>
              <w:rPr>
                <w:rFonts w:hint="eastAsia" w:ascii="Cambria Math" w:hAnsi="Cambria Math" w:cs="宋体"/>
                <w:kern w:val="0"/>
              </w:rPr>
            </m:ctrlPr>
          </m:sSubPr>
          <m:e>
            <m:r>
              <m:rPr/>
              <w:rPr>
                <w:rFonts w:hint="eastAsia" w:ascii="Cambria Math" w:hAnsi="Cambria Math" w:cs="宋体"/>
                <w:kern w:val="0"/>
              </w:rPr>
              <m:t>EF</m:t>
            </m:r>
            <m:ctrlPr>
              <w:rPr>
                <w:rFonts w:hint="eastAsia" w:ascii="Cambria Math" w:hAnsi="Cambria Math" w:cs="宋体"/>
                <w:kern w:val="0"/>
              </w:rPr>
            </m:ctrlPr>
          </m:e>
          <m:sub>
            <m:r>
              <m:rPr/>
              <w:rPr>
                <w:rFonts w:hint="eastAsia" w:ascii="Cambria Math" w:hAnsi="Cambria Math" w:cs="宋体"/>
                <w:kern w:val="0"/>
              </w:rPr>
              <m:t>ℎ</m:t>
            </m:r>
            <m:ctrlPr>
              <w:rPr>
                <w:rFonts w:hint="eastAsia" w:ascii="Cambria Math" w:hAnsi="Cambria Math" w:cs="宋体"/>
                <w:kern w:val="0"/>
              </w:rPr>
            </m:ctrlPr>
          </m:sub>
        </m:sSub>
      </m:oMath>
      <w:r>
        <w:rPr>
          <w:rFonts w:hint="eastAsia" w:ascii="宋体" w:hAnsi="宋体" w:cs="宋体"/>
          <w:kern w:val="0"/>
        </w:rPr>
        <w:t xml:space="preserve">    </w:t>
      </w:r>
      <w:r>
        <w:rPr>
          <w:rFonts w:ascii="宋体" w:hAnsi="宋体" w:cs="宋体"/>
          <w:kern w:val="0"/>
        </w:rPr>
        <w:t xml:space="preserve">                </w:t>
      </w:r>
      <w:r>
        <w:rPr>
          <w:rFonts w:hint="eastAsia" w:ascii="宋体" w:hAnsi="宋体" w:cs="宋体"/>
          <w:kern w:val="0"/>
        </w:rPr>
        <w:t xml:space="preserve">           （</w:t>
      </w:r>
      <w:r>
        <w:rPr>
          <w:rFonts w:ascii="宋体" w:hAnsi="宋体" w:cs="宋体"/>
          <w:bCs/>
          <w:kern w:val="0"/>
        </w:rPr>
        <w:t>8</w:t>
      </w:r>
      <w:r>
        <w:rPr>
          <w:rFonts w:hint="eastAsia" w:ascii="宋体" w:hAnsi="宋体" w:cs="宋体"/>
          <w:kern w:val="0"/>
        </w:rPr>
        <w:t>）</w:t>
      </w:r>
    </w:p>
    <w:p>
      <w:pPr>
        <w:keepNext w:val="0"/>
        <w:keepLines w:val="0"/>
        <w:pageBreakBefore w:val="0"/>
        <w:widowControl/>
        <w:numPr>
          <w:ilvl w:val="255"/>
          <w:numId w:val="0"/>
        </w:numPr>
        <w:kinsoku/>
        <w:wordWrap/>
        <w:overflowPunct/>
        <w:topLinePunct w:val="0"/>
        <w:bidi w:val="0"/>
        <w:adjustRightInd/>
        <w:spacing w:line="240" w:lineRule="auto"/>
        <w:ind w:firstLine="420" w:firstLineChars="200"/>
        <w:jc w:val="left"/>
        <w:textAlignment w:val="auto"/>
        <w:rPr>
          <w:rFonts w:ascii="宋体" w:hAnsi="宋体" w:cs="宋体"/>
          <w:bCs/>
          <w:kern w:val="0"/>
        </w:rPr>
      </w:pPr>
      <w:r>
        <w:rPr>
          <w:rFonts w:hint="eastAsia" w:ascii="宋体" w:hAnsi="宋体" w:cs="宋体"/>
          <w:bCs/>
          <w:kern w:val="0"/>
        </w:rPr>
        <w:t>式中：</w:t>
      </w:r>
    </w:p>
    <w:p>
      <w:pPr>
        <w:keepNext w:val="0"/>
        <w:keepLines w:val="0"/>
        <w:pageBreakBefore w:val="0"/>
        <w:widowControl/>
        <w:numPr>
          <w:ilvl w:val="255"/>
          <w:numId w:val="0"/>
        </w:numPr>
        <w:kinsoku/>
        <w:wordWrap/>
        <w:overflowPunct/>
        <w:topLinePunct w:val="0"/>
        <w:bidi w:val="0"/>
        <w:adjustRightInd/>
        <w:spacing w:line="240" w:lineRule="auto"/>
        <w:ind w:firstLine="420" w:firstLineChars="200"/>
        <w:jc w:val="left"/>
        <w:textAlignment w:val="auto"/>
        <w:rPr>
          <w:rFonts w:ascii="宋体" w:hAnsi="宋体" w:cs="宋体"/>
          <w:bCs/>
          <w:kern w:val="0"/>
        </w:rPr>
      </w:pPr>
      <m:oMath>
        <m:sSub>
          <m:sSubPr>
            <m:ctrlPr>
              <w:rPr>
                <w:rFonts w:hint="eastAsia" w:ascii="Cambria Math" w:hAnsi="Cambria Math" w:cs="宋体"/>
                <w:bCs/>
                <w:kern w:val="0"/>
              </w:rPr>
            </m:ctrlPr>
          </m:sSubPr>
          <m:e>
            <m:r>
              <m:rPr/>
              <w:rPr>
                <w:rFonts w:hint="eastAsia" w:ascii="Cambria Math" w:hAnsi="Cambria Math" w:cs="宋体"/>
                <w:kern w:val="0"/>
              </w:rPr>
              <m:t>AD</m:t>
            </m:r>
            <m:ctrlPr>
              <w:rPr>
                <w:rFonts w:hint="eastAsia" w:ascii="Cambria Math" w:hAnsi="Cambria Math" w:cs="宋体"/>
                <w:bCs/>
                <w:kern w:val="0"/>
              </w:rPr>
            </m:ctrlPr>
          </m:e>
          <m:sub>
            <m:r>
              <m:rPr/>
              <w:rPr>
                <w:rFonts w:hint="eastAsia" w:ascii="Cambria Math" w:hAnsi="Cambria Math" w:cs="宋体"/>
                <w:kern w:val="0"/>
              </w:rPr>
              <m:t>e</m:t>
            </m:r>
            <m:ctrlPr>
              <w:rPr>
                <w:rFonts w:hint="eastAsia" w:ascii="Cambria Math" w:hAnsi="Cambria Math" w:cs="宋体"/>
                <w:bCs/>
                <w:kern w:val="0"/>
              </w:rPr>
            </m:ctrlPr>
          </m:sub>
        </m:sSub>
      </m:oMath>
      <w:r>
        <w:rPr>
          <w:rFonts w:hint="eastAsia" w:ascii="宋体" w:hAnsi="宋体" w:cs="宋体"/>
          <w:bCs/>
          <w:kern w:val="0"/>
        </w:rPr>
        <w:t>——</w:t>
      </w:r>
      <w:r>
        <w:rPr>
          <w:rFonts w:hint="eastAsia" w:ascii="宋体" w:hAnsi="宋体" w:cs="宋体"/>
          <w:kern w:val="0"/>
        </w:rPr>
        <w:t>每立方米预拌混凝土生产中的</w:t>
      </w:r>
      <w:r>
        <w:rPr>
          <w:rFonts w:hint="eastAsia" w:ascii="宋体" w:hAnsi="宋体" w:cs="宋体"/>
          <w:bCs/>
          <w:kern w:val="0"/>
        </w:rPr>
        <w:t>电力消耗量；</w:t>
      </w:r>
    </w:p>
    <w:p>
      <w:pPr>
        <w:keepNext w:val="0"/>
        <w:keepLines w:val="0"/>
        <w:pageBreakBefore w:val="0"/>
        <w:widowControl/>
        <w:numPr>
          <w:ilvl w:val="255"/>
          <w:numId w:val="0"/>
        </w:numPr>
        <w:kinsoku/>
        <w:wordWrap/>
        <w:overflowPunct/>
        <w:topLinePunct w:val="0"/>
        <w:bidi w:val="0"/>
        <w:adjustRightInd/>
        <w:spacing w:line="240" w:lineRule="auto"/>
        <w:ind w:firstLine="420" w:firstLineChars="200"/>
        <w:jc w:val="left"/>
        <w:textAlignment w:val="auto"/>
        <w:rPr>
          <w:rFonts w:ascii="宋体" w:hAnsi="宋体" w:cs="宋体"/>
          <w:bCs/>
          <w:kern w:val="0"/>
        </w:rPr>
      </w:pPr>
      <m:oMath>
        <m:sSub>
          <m:sSubPr>
            <m:ctrlPr>
              <w:rPr>
                <w:rFonts w:hint="eastAsia" w:ascii="Cambria Math" w:hAnsi="Cambria Math" w:cs="宋体"/>
                <w:bCs/>
                <w:kern w:val="0"/>
              </w:rPr>
            </m:ctrlPr>
          </m:sSubPr>
          <m:e>
            <m:r>
              <m:rPr/>
              <w:rPr>
                <w:rFonts w:hint="eastAsia" w:ascii="Cambria Math" w:hAnsi="Cambria Math" w:cs="宋体"/>
                <w:kern w:val="0"/>
              </w:rPr>
              <m:t>EF</m:t>
            </m:r>
            <m:ctrlPr>
              <w:rPr>
                <w:rFonts w:hint="eastAsia" w:ascii="Cambria Math" w:hAnsi="Cambria Math" w:cs="宋体"/>
                <w:bCs/>
                <w:kern w:val="0"/>
              </w:rPr>
            </m:ctrlPr>
          </m:e>
          <m:sub>
            <m:r>
              <m:rPr/>
              <w:rPr>
                <w:rFonts w:hint="eastAsia" w:ascii="Cambria Math" w:hAnsi="Cambria Math" w:cs="宋体"/>
                <w:kern w:val="0"/>
              </w:rPr>
              <m:t>e</m:t>
            </m:r>
            <m:ctrlPr>
              <w:rPr>
                <w:rFonts w:hint="eastAsia" w:ascii="Cambria Math" w:hAnsi="Cambria Math" w:cs="宋体"/>
                <w:bCs/>
                <w:kern w:val="0"/>
              </w:rPr>
            </m:ctrlPr>
          </m:sub>
        </m:sSub>
      </m:oMath>
      <w:r>
        <w:rPr>
          <w:rFonts w:hint="eastAsia" w:ascii="宋体" w:hAnsi="宋体" w:cs="宋体"/>
          <w:bCs/>
          <w:kern w:val="0"/>
        </w:rPr>
        <w:t>——电力供应的碳排放因子，为0.57 kgCO2e/kw·h；</w:t>
      </w:r>
    </w:p>
    <w:p>
      <w:pPr>
        <w:keepNext w:val="0"/>
        <w:keepLines w:val="0"/>
        <w:pageBreakBefore w:val="0"/>
        <w:widowControl/>
        <w:numPr>
          <w:ilvl w:val="255"/>
          <w:numId w:val="0"/>
        </w:numPr>
        <w:kinsoku/>
        <w:wordWrap/>
        <w:overflowPunct/>
        <w:topLinePunct w:val="0"/>
        <w:bidi w:val="0"/>
        <w:adjustRightInd/>
        <w:spacing w:line="240" w:lineRule="auto"/>
        <w:ind w:firstLine="420" w:firstLineChars="200"/>
        <w:jc w:val="left"/>
        <w:textAlignment w:val="auto"/>
        <w:rPr>
          <w:rFonts w:ascii="宋体" w:hAnsi="宋体" w:cs="宋体"/>
          <w:kern w:val="0"/>
        </w:rPr>
      </w:pPr>
      <m:oMath>
        <m:sSub>
          <m:sSubPr>
            <m:ctrlPr>
              <w:rPr>
                <w:rFonts w:hint="eastAsia" w:ascii="Cambria Math" w:hAnsi="Cambria Math" w:cs="宋体"/>
                <w:i/>
                <w:kern w:val="0"/>
              </w:rPr>
            </m:ctrlPr>
          </m:sSubPr>
          <m:e>
            <m:r>
              <m:rPr/>
              <w:rPr>
                <w:rFonts w:hint="eastAsia" w:ascii="Cambria Math" w:hAnsi="Cambria Math" w:cs="宋体"/>
                <w:kern w:val="0"/>
              </w:rPr>
              <m:t>AD</m:t>
            </m:r>
            <m:ctrlPr>
              <w:rPr>
                <w:rFonts w:hint="eastAsia" w:ascii="Cambria Math" w:hAnsi="Cambria Math" w:cs="宋体"/>
                <w:i/>
                <w:kern w:val="0"/>
              </w:rPr>
            </m:ctrlPr>
          </m:e>
          <m:sub>
            <m:r>
              <m:rPr/>
              <w:rPr>
                <w:rFonts w:hint="eastAsia" w:ascii="Cambria Math" w:hAnsi="Cambria Math" w:cs="宋体"/>
                <w:kern w:val="0"/>
              </w:rPr>
              <m:t>ℎ</m:t>
            </m:r>
            <m:ctrlPr>
              <w:rPr>
                <w:rFonts w:hint="eastAsia" w:ascii="Cambria Math" w:hAnsi="Cambria Math" w:cs="宋体"/>
                <w:i/>
                <w:kern w:val="0"/>
              </w:rPr>
            </m:ctrlPr>
          </m:sub>
        </m:sSub>
      </m:oMath>
      <w:r>
        <w:rPr>
          <w:rFonts w:hint="eastAsia" w:ascii="宋体" w:hAnsi="宋体" w:cs="宋体"/>
          <w:bCs/>
          <w:kern w:val="0"/>
        </w:rPr>
        <w:t>——</w:t>
      </w:r>
      <w:r>
        <w:rPr>
          <w:rFonts w:hint="eastAsia" w:ascii="宋体" w:hAnsi="宋体" w:cs="宋体"/>
          <w:kern w:val="0"/>
        </w:rPr>
        <w:t>每立方米预拌混凝土生产中的热力消耗量；</w:t>
      </w:r>
    </w:p>
    <w:p>
      <w:pPr>
        <w:keepNext w:val="0"/>
        <w:keepLines w:val="0"/>
        <w:pageBreakBefore w:val="0"/>
        <w:widowControl/>
        <w:numPr>
          <w:ilvl w:val="255"/>
          <w:numId w:val="0"/>
        </w:numPr>
        <w:kinsoku/>
        <w:wordWrap/>
        <w:overflowPunct/>
        <w:topLinePunct w:val="0"/>
        <w:bidi w:val="0"/>
        <w:adjustRightInd/>
        <w:spacing w:line="240" w:lineRule="auto"/>
        <w:ind w:firstLine="420" w:firstLineChars="200"/>
        <w:jc w:val="left"/>
        <w:textAlignment w:val="auto"/>
        <w:rPr>
          <w:rFonts w:ascii="宋体" w:hAnsi="宋体" w:cs="宋体"/>
          <w:kern w:val="0"/>
        </w:rPr>
      </w:pPr>
      <m:oMath>
        <m:sSub>
          <m:sSubPr>
            <m:ctrlPr>
              <w:rPr>
                <w:rFonts w:hint="eastAsia" w:ascii="Cambria Math" w:hAnsi="Cambria Math" w:cs="宋体"/>
                <w:i/>
                <w:kern w:val="0"/>
              </w:rPr>
            </m:ctrlPr>
          </m:sSubPr>
          <m:e>
            <m:r>
              <m:rPr/>
              <w:rPr>
                <w:rFonts w:hint="eastAsia" w:ascii="Cambria Math" w:hAnsi="Cambria Math" w:cs="宋体"/>
                <w:kern w:val="0"/>
              </w:rPr>
              <m:t>EF</m:t>
            </m:r>
            <m:ctrlPr>
              <w:rPr>
                <w:rFonts w:hint="eastAsia" w:ascii="Cambria Math" w:hAnsi="Cambria Math" w:cs="宋体"/>
                <w:i/>
                <w:kern w:val="0"/>
              </w:rPr>
            </m:ctrlPr>
          </m:e>
          <m:sub>
            <m:r>
              <m:rPr/>
              <w:rPr>
                <w:rFonts w:hint="eastAsia" w:ascii="Cambria Math" w:hAnsi="Cambria Math" w:cs="宋体"/>
                <w:kern w:val="0"/>
              </w:rPr>
              <m:t>ℎ</m:t>
            </m:r>
            <m:ctrlPr>
              <w:rPr>
                <w:rFonts w:hint="eastAsia" w:ascii="Cambria Math" w:hAnsi="Cambria Math" w:cs="宋体"/>
                <w:i/>
                <w:kern w:val="0"/>
              </w:rPr>
            </m:ctrlPr>
          </m:sub>
        </m:sSub>
      </m:oMath>
      <w:r>
        <w:rPr>
          <w:rFonts w:hint="eastAsia" w:ascii="宋体" w:hAnsi="宋体" w:cs="宋体"/>
          <w:bCs/>
          <w:kern w:val="0"/>
        </w:rPr>
        <w:t>——</w:t>
      </w:r>
      <w:r>
        <w:rPr>
          <w:rFonts w:hint="eastAsia" w:ascii="宋体" w:hAnsi="宋体" w:cs="宋体"/>
          <w:kern w:val="0"/>
        </w:rPr>
        <w:t>热力供应的</w:t>
      </w:r>
      <w:r>
        <w:rPr>
          <w:rFonts w:hint="eastAsia" w:ascii="宋体" w:hAnsi="宋体" w:cs="宋体"/>
          <w:bCs/>
          <w:kern w:val="0"/>
        </w:rPr>
        <w:t>碳排放因子，为0.11 kgCO2e/MJ</w:t>
      </w:r>
      <w:r>
        <w:rPr>
          <w:rFonts w:hint="eastAsia" w:ascii="宋体" w:hAnsi="宋体" w:cs="宋体"/>
          <w:kern w:val="0"/>
        </w:rPr>
        <w:t>。</w:t>
      </w:r>
    </w:p>
    <w:p>
      <w:pPr>
        <w:keepNext w:val="0"/>
        <w:keepLines w:val="0"/>
        <w:pageBreakBefore w:val="0"/>
        <w:widowControl/>
        <w:numPr>
          <w:ilvl w:val="255"/>
          <w:numId w:val="0"/>
        </w:numPr>
        <w:kinsoku/>
        <w:wordWrap/>
        <w:overflowPunct/>
        <w:topLinePunct w:val="0"/>
        <w:bidi w:val="0"/>
        <w:adjustRightInd/>
        <w:spacing w:line="240" w:lineRule="auto"/>
        <w:ind w:left="426" w:hanging="426" w:hangingChars="202"/>
        <w:jc w:val="left"/>
        <w:textAlignment w:val="auto"/>
        <w:rPr>
          <w:rFonts w:ascii="宋体" w:hAnsi="宋体" w:cs="宋体"/>
          <w:kern w:val="0"/>
        </w:rPr>
      </w:pPr>
      <w:r>
        <w:rPr>
          <w:rFonts w:ascii="宋体" w:hAnsi="宋体" w:cs="宋体"/>
          <w:b/>
          <w:bCs/>
          <w:kern w:val="0"/>
        </w:rPr>
        <w:t>B</w:t>
      </w:r>
      <w:r>
        <w:rPr>
          <w:rFonts w:hint="eastAsia" w:ascii="宋体" w:hAnsi="宋体" w:cs="宋体"/>
          <w:b/>
          <w:bCs/>
          <w:kern w:val="0"/>
        </w:rPr>
        <w:t>.4</w:t>
      </w:r>
      <w:r>
        <w:rPr>
          <w:rFonts w:ascii="宋体" w:hAnsi="宋体" w:cs="宋体"/>
          <w:b/>
          <w:bCs/>
          <w:kern w:val="0"/>
        </w:rPr>
        <w:t xml:space="preserve">.3 </w:t>
      </w:r>
      <w:r>
        <w:rPr>
          <w:rFonts w:hint="eastAsia" w:ascii="宋体" w:hAnsi="宋体" w:cs="宋体"/>
          <w:kern w:val="0"/>
        </w:rPr>
        <w:t>水的碳排放量</w:t>
      </w:r>
      <w:r>
        <w:rPr>
          <w:rFonts w:hint="eastAsia" w:ascii="宋体" w:hAnsi="宋体" w:cs="宋体"/>
          <w:bCs/>
          <w:kern w:val="0"/>
        </w:rPr>
        <w:t>应按下式计算：</w:t>
      </w:r>
    </w:p>
    <w:p>
      <w:pPr>
        <w:keepNext w:val="0"/>
        <w:keepLines w:val="0"/>
        <w:pageBreakBefore w:val="0"/>
        <w:widowControl/>
        <w:numPr>
          <w:ilvl w:val="255"/>
          <w:numId w:val="0"/>
        </w:numPr>
        <w:tabs>
          <w:tab w:val="center" w:pos="4150"/>
          <w:tab w:val="right" w:pos="8301"/>
        </w:tabs>
        <w:kinsoku/>
        <w:wordWrap/>
        <w:overflowPunct/>
        <w:topLinePunct w:val="0"/>
        <w:bidi w:val="0"/>
        <w:adjustRightInd/>
        <w:spacing w:line="240" w:lineRule="auto"/>
        <w:ind w:left="851" w:hanging="426"/>
        <w:jc w:val="right"/>
        <w:textAlignment w:val="auto"/>
        <w:rPr>
          <w:rFonts w:ascii="宋体" w:hAnsi="宋体" w:cs="宋体"/>
          <w:kern w:val="0"/>
        </w:rPr>
      </w:pPr>
      <w:r>
        <w:rPr>
          <w:rFonts w:hint="eastAsia" w:ascii="宋体" w:hAnsi="宋体" w:cs="宋体"/>
          <w:kern w:val="0"/>
        </w:rPr>
        <w:t xml:space="preserve">        </w:t>
      </w:r>
      <m:oMath>
        <m:sSub>
          <m:sSubPr>
            <m:ctrlPr>
              <w:rPr>
                <w:rFonts w:hint="eastAsia" w:ascii="Cambria Math" w:hAnsi="Cambria Math" w:cs="宋体"/>
                <w:kern w:val="0"/>
              </w:rPr>
            </m:ctrlPr>
          </m:sSubPr>
          <m:e>
            <m:r>
              <m:rPr/>
              <w:rPr>
                <w:rFonts w:hint="eastAsia" w:ascii="Cambria Math" w:hAnsi="Cambria Math" w:cs="宋体"/>
                <w:kern w:val="0"/>
              </w:rPr>
              <m:t>E</m:t>
            </m:r>
            <m:ctrlPr>
              <w:rPr>
                <w:rFonts w:hint="eastAsia" w:ascii="Cambria Math" w:hAnsi="Cambria Math" w:cs="宋体"/>
                <w:kern w:val="0"/>
              </w:rPr>
            </m:ctrlPr>
          </m:e>
          <m:sub>
            <m:r>
              <m:rPr/>
              <w:rPr>
                <w:rFonts w:hint="eastAsia" w:ascii="Cambria Math" w:hAnsi="Cambria Math" w:cs="宋体"/>
                <w:kern w:val="0"/>
              </w:rPr>
              <m:t>水</m:t>
            </m:r>
            <m:ctrlPr>
              <w:rPr>
                <w:rFonts w:hint="eastAsia" w:ascii="Cambria Math" w:hAnsi="Cambria Math" w:cs="宋体"/>
                <w:kern w:val="0"/>
              </w:rPr>
            </m:ctrlPr>
          </m:sub>
        </m:sSub>
        <m:r>
          <m:rPr>
            <m:sty m:val="p"/>
          </m:rPr>
          <w:rPr>
            <w:rFonts w:hint="eastAsia" w:ascii="Cambria Math" w:hAnsi="Cambria Math" w:cs="宋体"/>
            <w:kern w:val="0"/>
          </w:rPr>
          <m:t>=</m:t>
        </m:r>
        <m:sSub>
          <m:sSubPr>
            <m:ctrlPr>
              <w:rPr>
                <w:rFonts w:hint="eastAsia" w:ascii="Cambria Math" w:hAnsi="Cambria Math" w:cs="宋体"/>
                <w:kern w:val="0"/>
              </w:rPr>
            </m:ctrlPr>
          </m:sSubPr>
          <m:e>
            <m:r>
              <m:rPr/>
              <w:rPr>
                <w:rFonts w:hint="eastAsia" w:ascii="Cambria Math" w:hAnsi="Cambria Math" w:cs="宋体"/>
                <w:kern w:val="0"/>
              </w:rPr>
              <m:t>AD</m:t>
            </m:r>
            <m:ctrlPr>
              <w:rPr>
                <w:rFonts w:hint="eastAsia" w:ascii="Cambria Math" w:hAnsi="Cambria Math" w:cs="宋体"/>
                <w:kern w:val="0"/>
              </w:rPr>
            </m:ctrlPr>
          </m:e>
          <m:sub>
            <m:r>
              <m:rPr/>
              <w:rPr>
                <w:rFonts w:hint="eastAsia" w:ascii="Cambria Math" w:hAnsi="Cambria Math" w:cs="宋体"/>
                <w:kern w:val="0"/>
              </w:rPr>
              <m:t>w</m:t>
            </m:r>
            <m:ctrlPr>
              <w:rPr>
                <w:rFonts w:hint="eastAsia" w:ascii="Cambria Math" w:hAnsi="Cambria Math" w:cs="宋体"/>
                <w:kern w:val="0"/>
              </w:rPr>
            </m:ctrlPr>
          </m:sub>
        </m:sSub>
        <m:r>
          <m:rPr>
            <m:sty m:val="p"/>
          </m:rPr>
          <w:rPr>
            <w:rFonts w:hint="eastAsia" w:ascii="Cambria Math" w:hAnsi="Cambria Math" w:cs="宋体"/>
            <w:kern w:val="0"/>
          </w:rPr>
          <m:t>×</m:t>
        </m:r>
        <m:sSub>
          <m:sSubPr>
            <m:ctrlPr>
              <w:rPr>
                <w:rFonts w:hint="eastAsia" w:ascii="Cambria Math" w:hAnsi="Cambria Math" w:cs="宋体"/>
                <w:kern w:val="0"/>
              </w:rPr>
            </m:ctrlPr>
          </m:sSubPr>
          <m:e>
            <m:r>
              <m:rPr/>
              <w:rPr>
                <w:rFonts w:hint="eastAsia" w:ascii="Cambria Math" w:hAnsi="Cambria Math" w:cs="宋体"/>
                <w:kern w:val="0"/>
              </w:rPr>
              <m:t>EF</m:t>
            </m:r>
            <m:ctrlPr>
              <w:rPr>
                <w:rFonts w:hint="eastAsia" w:ascii="Cambria Math" w:hAnsi="Cambria Math" w:cs="宋体"/>
                <w:kern w:val="0"/>
              </w:rPr>
            </m:ctrlPr>
          </m:e>
          <m:sub>
            <m:r>
              <m:rPr/>
              <w:rPr>
                <w:rFonts w:hint="eastAsia" w:ascii="Cambria Math" w:hAnsi="Cambria Math" w:cs="宋体"/>
                <w:kern w:val="0"/>
              </w:rPr>
              <m:t>w</m:t>
            </m:r>
            <m:ctrlPr>
              <w:rPr>
                <w:rFonts w:hint="eastAsia" w:ascii="Cambria Math" w:hAnsi="Cambria Math" w:cs="宋体"/>
                <w:kern w:val="0"/>
              </w:rPr>
            </m:ctrlPr>
          </m:sub>
        </m:sSub>
      </m:oMath>
      <w:r>
        <w:rPr>
          <w:rFonts w:hint="eastAsia" w:ascii="宋体" w:hAnsi="宋体" w:cs="宋体"/>
          <w:kern w:val="0"/>
        </w:rPr>
        <w:t xml:space="preserve">    </w:t>
      </w:r>
      <w:r>
        <w:rPr>
          <w:rFonts w:ascii="宋体" w:hAnsi="宋体" w:cs="宋体"/>
          <w:kern w:val="0"/>
        </w:rPr>
        <w:t xml:space="preserve">                 </w:t>
      </w:r>
      <w:r>
        <w:rPr>
          <w:rFonts w:hint="eastAsia" w:ascii="宋体" w:hAnsi="宋体" w:cs="宋体"/>
          <w:kern w:val="0"/>
        </w:rPr>
        <w:t xml:space="preserve">         （</w:t>
      </w:r>
      <w:r>
        <w:rPr>
          <w:rFonts w:ascii="宋体" w:hAnsi="宋体" w:cs="宋体"/>
          <w:bCs/>
          <w:kern w:val="0"/>
        </w:rPr>
        <w:t>9</w:t>
      </w:r>
      <w:r>
        <w:rPr>
          <w:rFonts w:hint="eastAsia" w:ascii="宋体" w:hAnsi="宋体" w:cs="宋体"/>
          <w:kern w:val="0"/>
        </w:rPr>
        <w:t>）</w:t>
      </w:r>
    </w:p>
    <w:p>
      <w:pPr>
        <w:keepNext w:val="0"/>
        <w:keepLines w:val="0"/>
        <w:pageBreakBefore w:val="0"/>
        <w:widowControl/>
        <w:numPr>
          <w:ilvl w:val="255"/>
          <w:numId w:val="0"/>
        </w:numPr>
        <w:kinsoku/>
        <w:wordWrap/>
        <w:overflowPunct/>
        <w:topLinePunct w:val="0"/>
        <w:bidi w:val="0"/>
        <w:adjustRightInd/>
        <w:spacing w:line="240" w:lineRule="auto"/>
        <w:ind w:firstLine="420" w:firstLineChars="200"/>
        <w:jc w:val="left"/>
        <w:textAlignment w:val="auto"/>
        <w:rPr>
          <w:rFonts w:ascii="宋体" w:hAnsi="宋体" w:cs="宋体"/>
          <w:kern w:val="0"/>
        </w:rPr>
      </w:pPr>
      <w:r>
        <w:rPr>
          <w:rFonts w:hint="eastAsia" w:ascii="宋体" w:hAnsi="宋体" w:cs="宋体"/>
          <w:kern w:val="0"/>
        </w:rPr>
        <w:t>式中：</w:t>
      </w:r>
    </w:p>
    <w:p>
      <w:pPr>
        <w:keepNext w:val="0"/>
        <w:keepLines w:val="0"/>
        <w:pageBreakBefore w:val="0"/>
        <w:widowControl/>
        <w:numPr>
          <w:ilvl w:val="255"/>
          <w:numId w:val="0"/>
        </w:numPr>
        <w:kinsoku/>
        <w:wordWrap/>
        <w:overflowPunct/>
        <w:topLinePunct w:val="0"/>
        <w:bidi w:val="0"/>
        <w:adjustRightInd/>
        <w:spacing w:line="240" w:lineRule="auto"/>
        <w:ind w:firstLine="420" w:firstLineChars="200"/>
        <w:jc w:val="left"/>
        <w:textAlignment w:val="auto"/>
        <w:rPr>
          <w:rFonts w:ascii="宋体" w:hAnsi="宋体" w:cs="宋体"/>
          <w:bCs/>
          <w:kern w:val="0"/>
        </w:rPr>
      </w:pPr>
      <m:oMath>
        <m:sSub>
          <m:sSubPr>
            <m:ctrlPr>
              <w:rPr>
                <w:rFonts w:hint="eastAsia" w:ascii="Cambria Math" w:hAnsi="Cambria Math" w:cs="宋体"/>
                <w:bCs/>
                <w:kern w:val="0"/>
              </w:rPr>
            </m:ctrlPr>
          </m:sSubPr>
          <m:e>
            <m:r>
              <m:rPr/>
              <w:rPr>
                <w:rFonts w:hint="eastAsia" w:ascii="Cambria Math" w:hAnsi="Cambria Math" w:cs="宋体"/>
                <w:kern w:val="0"/>
              </w:rPr>
              <m:t>AD</m:t>
            </m:r>
            <m:ctrlPr>
              <w:rPr>
                <w:rFonts w:hint="eastAsia" w:ascii="Cambria Math" w:hAnsi="Cambria Math" w:cs="宋体"/>
                <w:bCs/>
                <w:kern w:val="0"/>
              </w:rPr>
            </m:ctrlPr>
          </m:e>
          <m:sub>
            <m:r>
              <m:rPr/>
              <w:rPr>
                <w:rFonts w:hint="eastAsia" w:ascii="Cambria Math" w:hAnsi="Cambria Math" w:cs="宋体"/>
                <w:kern w:val="0"/>
              </w:rPr>
              <m:t>w</m:t>
            </m:r>
            <m:ctrlPr>
              <w:rPr>
                <w:rFonts w:hint="eastAsia" w:ascii="Cambria Math" w:hAnsi="Cambria Math" w:cs="宋体"/>
                <w:bCs/>
                <w:kern w:val="0"/>
              </w:rPr>
            </m:ctrlPr>
          </m:sub>
        </m:sSub>
      </m:oMath>
      <w:r>
        <w:rPr>
          <w:rFonts w:hint="eastAsia" w:ascii="宋体" w:hAnsi="宋体" w:cs="宋体"/>
          <w:bCs/>
          <w:kern w:val="0"/>
        </w:rPr>
        <w:t>——</w:t>
      </w:r>
      <w:r>
        <w:rPr>
          <w:rFonts w:hint="eastAsia" w:ascii="宋体" w:hAnsi="宋体" w:cs="宋体"/>
          <w:kern w:val="0"/>
        </w:rPr>
        <w:t>每立方米预拌混凝土生产中</w:t>
      </w:r>
      <w:r>
        <w:rPr>
          <w:rFonts w:hint="eastAsia" w:ascii="宋体" w:hAnsi="宋体" w:cs="宋体"/>
          <w:bCs/>
          <w:kern w:val="0"/>
        </w:rPr>
        <w:t>的</w:t>
      </w:r>
      <w:r>
        <w:rPr>
          <w:rFonts w:hint="eastAsia" w:ascii="宋体" w:hAnsi="宋体" w:cs="宋体"/>
          <w:kern w:val="0"/>
        </w:rPr>
        <w:t>水消耗</w:t>
      </w:r>
      <w:r>
        <w:rPr>
          <w:rFonts w:hint="eastAsia" w:ascii="宋体" w:hAnsi="宋体" w:cs="宋体"/>
          <w:bCs/>
          <w:kern w:val="0"/>
        </w:rPr>
        <w:t>量；</w:t>
      </w:r>
    </w:p>
    <w:p>
      <w:pPr>
        <w:keepNext w:val="0"/>
        <w:keepLines w:val="0"/>
        <w:pageBreakBefore w:val="0"/>
        <w:widowControl/>
        <w:numPr>
          <w:ilvl w:val="255"/>
          <w:numId w:val="0"/>
        </w:numPr>
        <w:kinsoku/>
        <w:wordWrap/>
        <w:overflowPunct/>
        <w:topLinePunct w:val="0"/>
        <w:bidi w:val="0"/>
        <w:adjustRightInd/>
        <w:spacing w:line="240" w:lineRule="auto"/>
        <w:ind w:firstLine="420" w:firstLineChars="200"/>
        <w:jc w:val="left"/>
        <w:textAlignment w:val="auto"/>
        <w:rPr>
          <w:rFonts w:ascii="宋体" w:hAnsi="宋体" w:cs="宋体"/>
          <w:bCs/>
          <w:kern w:val="0"/>
        </w:rPr>
      </w:pPr>
      <m:oMath>
        <m:sSub>
          <m:sSubPr>
            <m:ctrlPr>
              <w:rPr>
                <w:rFonts w:hint="eastAsia" w:ascii="Cambria Math" w:hAnsi="Cambria Math" w:cs="宋体"/>
                <w:bCs/>
                <w:kern w:val="0"/>
              </w:rPr>
            </m:ctrlPr>
          </m:sSubPr>
          <m:e>
            <m:r>
              <m:rPr/>
              <w:rPr>
                <w:rFonts w:hint="eastAsia" w:ascii="Cambria Math" w:hAnsi="Cambria Math" w:cs="宋体"/>
                <w:kern w:val="0"/>
              </w:rPr>
              <m:t>EF</m:t>
            </m:r>
            <m:ctrlPr>
              <w:rPr>
                <w:rFonts w:hint="eastAsia" w:ascii="Cambria Math" w:hAnsi="Cambria Math" w:cs="宋体"/>
                <w:bCs/>
                <w:kern w:val="0"/>
              </w:rPr>
            </m:ctrlPr>
          </m:e>
          <m:sub>
            <m:r>
              <m:rPr/>
              <w:rPr>
                <w:rFonts w:hint="eastAsia" w:ascii="Cambria Math" w:hAnsi="Cambria Math" w:cs="宋体"/>
                <w:kern w:val="0"/>
              </w:rPr>
              <m:t>w</m:t>
            </m:r>
            <m:ctrlPr>
              <w:rPr>
                <w:rFonts w:hint="eastAsia" w:ascii="Cambria Math" w:hAnsi="Cambria Math" w:cs="宋体"/>
                <w:bCs/>
                <w:kern w:val="0"/>
              </w:rPr>
            </m:ctrlPr>
          </m:sub>
        </m:sSub>
      </m:oMath>
      <w:r>
        <w:rPr>
          <w:rFonts w:hint="eastAsia" w:ascii="宋体" w:hAnsi="宋体" w:cs="宋体"/>
          <w:bCs/>
          <w:kern w:val="0"/>
        </w:rPr>
        <w:t>——水的碳排放因子，按照表3取值。</w:t>
      </w:r>
    </w:p>
    <w:p>
      <w:pPr>
        <w:keepNext w:val="0"/>
        <w:keepLines w:val="0"/>
        <w:pageBreakBefore w:val="0"/>
        <w:widowControl/>
        <w:numPr>
          <w:ilvl w:val="255"/>
          <w:numId w:val="0"/>
        </w:numPr>
        <w:kinsoku/>
        <w:wordWrap/>
        <w:overflowPunct/>
        <w:topLinePunct w:val="0"/>
        <w:bidi w:val="0"/>
        <w:adjustRightInd/>
        <w:spacing w:line="240" w:lineRule="auto"/>
        <w:jc w:val="left"/>
        <w:textAlignment w:val="auto"/>
        <w:rPr>
          <w:rFonts w:ascii="宋体" w:hAnsi="宋体" w:cs="宋体"/>
          <w:bCs/>
          <w:kern w:val="0"/>
        </w:rPr>
      </w:pPr>
      <w:r>
        <w:rPr>
          <w:rFonts w:ascii="宋体" w:hAnsi="宋体" w:cs="宋体"/>
          <w:b/>
          <w:bCs/>
          <w:kern w:val="0"/>
        </w:rPr>
        <w:t>B</w:t>
      </w:r>
      <w:r>
        <w:rPr>
          <w:rFonts w:hint="eastAsia" w:ascii="宋体" w:hAnsi="宋体" w:cs="宋体"/>
          <w:b/>
          <w:bCs/>
          <w:kern w:val="0"/>
        </w:rPr>
        <w:t>.4</w:t>
      </w:r>
      <w:r>
        <w:rPr>
          <w:rFonts w:ascii="宋体" w:hAnsi="宋体" w:cs="宋体"/>
          <w:b/>
          <w:bCs/>
          <w:kern w:val="0"/>
        </w:rPr>
        <w:t xml:space="preserve">.4 </w:t>
      </w:r>
      <w:r>
        <w:rPr>
          <w:rFonts w:hint="eastAsia" w:ascii="宋体" w:hAnsi="宋体" w:cs="宋体"/>
          <w:bCs/>
          <w:kern w:val="0"/>
        </w:rPr>
        <w:t>当具体型号</w:t>
      </w:r>
      <w:r>
        <w:rPr>
          <w:rFonts w:hint="eastAsia" w:ascii="宋体" w:hAnsi="宋体" w:cs="宋体"/>
          <w:kern w:val="0"/>
        </w:rPr>
        <w:t>预拌混凝土</w:t>
      </w:r>
      <w:r>
        <w:rPr>
          <w:rFonts w:hint="eastAsia" w:ascii="宋体" w:hAnsi="宋体" w:cs="宋体"/>
          <w:bCs/>
          <w:kern w:val="0"/>
        </w:rPr>
        <w:t>生产所用能源资源难以通过实测法准确测量时，还需将能源资源总量按照</w:t>
      </w:r>
      <w:r>
        <w:rPr>
          <w:rFonts w:hint="eastAsia" w:ascii="宋体" w:hAnsi="宋体" w:cs="宋体"/>
          <w:kern w:val="0"/>
        </w:rPr>
        <w:t>预拌混凝土</w:t>
      </w:r>
      <w:r>
        <w:rPr>
          <w:rFonts w:hint="eastAsia" w:ascii="宋体" w:hAnsi="宋体" w:cs="宋体"/>
          <w:bCs/>
          <w:kern w:val="0"/>
        </w:rPr>
        <w:t>生产量进行分摊，应按下式计算：</w:t>
      </w:r>
    </w:p>
    <w:p>
      <w:pPr>
        <w:keepNext w:val="0"/>
        <w:keepLines w:val="0"/>
        <w:pageBreakBefore w:val="0"/>
        <w:widowControl/>
        <w:numPr>
          <w:ilvl w:val="255"/>
          <w:numId w:val="0"/>
        </w:numPr>
        <w:tabs>
          <w:tab w:val="center" w:pos="4150"/>
          <w:tab w:val="right" w:pos="8301"/>
        </w:tabs>
        <w:kinsoku/>
        <w:wordWrap/>
        <w:overflowPunct/>
        <w:topLinePunct w:val="0"/>
        <w:bidi w:val="0"/>
        <w:adjustRightInd/>
        <w:spacing w:line="240" w:lineRule="auto"/>
        <w:ind w:left="851" w:hanging="426"/>
        <w:jc w:val="right"/>
        <w:textAlignment w:val="auto"/>
        <w:rPr>
          <w:rFonts w:ascii="宋体" w:hAnsi="宋体" w:cs="宋体"/>
          <w:kern w:val="0"/>
        </w:rPr>
      </w:pPr>
      <w:r>
        <w:rPr>
          <w:rFonts w:hint="eastAsia" w:ascii="宋体" w:hAnsi="宋体" w:cs="宋体"/>
          <w:kern w:val="0"/>
        </w:rPr>
        <w:tab/>
      </w:r>
      <m:oMath>
        <m:sSub>
          <m:sSubPr>
            <m:ctrlPr>
              <w:rPr>
                <w:rFonts w:hint="eastAsia" w:ascii="Cambria Math" w:hAnsi="Cambria Math" w:cs="宋体"/>
                <w:kern w:val="0"/>
              </w:rPr>
            </m:ctrlPr>
          </m:sSubPr>
          <m:e>
            <m:r>
              <m:rPr/>
              <w:rPr>
                <w:rFonts w:hint="eastAsia" w:ascii="Cambria Math" w:hAnsi="Cambria Math" w:cs="宋体"/>
                <w:kern w:val="0"/>
              </w:rPr>
              <m:t>AD</m:t>
            </m:r>
            <m:ctrlPr>
              <w:rPr>
                <w:rFonts w:hint="eastAsia" w:ascii="Cambria Math" w:hAnsi="Cambria Math" w:cs="宋体"/>
                <w:kern w:val="0"/>
              </w:rPr>
            </m:ctrlPr>
          </m:e>
          <m:sub>
            <m:r>
              <m:rPr/>
              <w:rPr>
                <w:rFonts w:hint="eastAsia" w:ascii="Cambria Math" w:hAnsi="Cambria Math" w:cs="宋体"/>
                <w:kern w:val="0"/>
              </w:rPr>
              <m:t>i</m:t>
            </m:r>
            <m:ctrlPr>
              <w:rPr>
                <w:rFonts w:hint="eastAsia" w:ascii="Cambria Math" w:hAnsi="Cambria Math" w:cs="宋体"/>
                <w:kern w:val="0"/>
              </w:rPr>
            </m:ctrlPr>
          </m:sub>
        </m:sSub>
        <m:r>
          <m:rPr>
            <m:sty m:val="p"/>
          </m:rPr>
          <w:rPr>
            <w:rFonts w:hint="eastAsia" w:ascii="Cambria Math" w:hAnsi="Cambria Math" w:cs="宋体"/>
            <w:kern w:val="0"/>
          </w:rPr>
          <m:t>=</m:t>
        </m:r>
        <m:f>
          <m:fPr>
            <m:ctrlPr>
              <w:rPr>
                <w:rFonts w:hint="eastAsia" w:ascii="Cambria Math" w:hAnsi="Cambria Math" w:cs="宋体"/>
                <w:kern w:val="0"/>
              </w:rPr>
            </m:ctrlPr>
          </m:fPr>
          <m:num>
            <m:sSub>
              <m:sSubPr>
                <m:ctrlPr>
                  <w:rPr>
                    <w:rFonts w:hint="eastAsia" w:ascii="Cambria Math" w:hAnsi="Cambria Math" w:cs="宋体"/>
                    <w:kern w:val="0"/>
                  </w:rPr>
                </m:ctrlPr>
              </m:sSubPr>
              <m:e>
                <m:r>
                  <m:rPr/>
                  <w:rPr>
                    <w:rFonts w:hint="eastAsia" w:ascii="Cambria Math" w:hAnsi="Cambria Math" w:cs="宋体"/>
                    <w:kern w:val="0"/>
                  </w:rPr>
                  <m:t>AD</m:t>
                </m:r>
                <m:ctrlPr>
                  <w:rPr>
                    <w:rFonts w:hint="eastAsia" w:ascii="Cambria Math" w:hAnsi="Cambria Math" w:cs="宋体"/>
                    <w:kern w:val="0"/>
                  </w:rPr>
                </m:ctrlPr>
              </m:e>
              <m:sub>
                <m:r>
                  <m:rPr/>
                  <w:rPr>
                    <w:rFonts w:hint="eastAsia" w:ascii="Cambria Math" w:hAnsi="Cambria Math" w:cs="宋体"/>
                    <w:kern w:val="0"/>
                  </w:rPr>
                  <m:t>i</m:t>
                </m:r>
                <m:r>
                  <m:rPr>
                    <m:sty m:val="p"/>
                  </m:rPr>
                  <w:rPr>
                    <w:rFonts w:hint="eastAsia" w:ascii="Cambria Math" w:hAnsi="Cambria Math" w:cs="宋体"/>
                    <w:kern w:val="0"/>
                  </w:rPr>
                  <m:t xml:space="preserve">, </m:t>
                </m:r>
                <m:r>
                  <m:rPr/>
                  <w:rPr>
                    <w:rFonts w:hint="eastAsia" w:ascii="Cambria Math" w:hAnsi="Cambria Math" w:cs="宋体"/>
                    <w:kern w:val="0"/>
                  </w:rPr>
                  <m:t>z</m:t>
                </m:r>
                <m:ctrlPr>
                  <w:rPr>
                    <w:rFonts w:hint="eastAsia" w:ascii="Cambria Math" w:hAnsi="Cambria Math" w:cs="宋体"/>
                    <w:kern w:val="0"/>
                  </w:rPr>
                </m:ctrlPr>
              </m:sub>
            </m:sSub>
            <m:ctrlPr>
              <w:rPr>
                <w:rFonts w:hint="eastAsia" w:ascii="Cambria Math" w:hAnsi="Cambria Math" w:cs="宋体"/>
                <w:kern w:val="0"/>
              </w:rPr>
            </m:ctrlPr>
          </m:num>
          <m:den>
            <m:r>
              <m:rPr/>
              <w:rPr>
                <w:rFonts w:hint="eastAsia" w:ascii="Cambria Math" w:hAnsi="Cambria Math" w:cs="宋体"/>
                <w:kern w:val="0"/>
              </w:rPr>
              <m:t>Q</m:t>
            </m:r>
            <m:ctrlPr>
              <w:rPr>
                <w:rFonts w:hint="eastAsia" w:ascii="Cambria Math" w:hAnsi="Cambria Math" w:cs="宋体"/>
                <w:kern w:val="0"/>
              </w:rPr>
            </m:ctrlPr>
          </m:den>
        </m:f>
      </m:oMath>
      <w:r>
        <w:rPr>
          <w:rFonts w:hint="eastAsia" w:ascii="宋体" w:hAnsi="宋体" w:cs="宋体"/>
          <w:kern w:val="0"/>
        </w:rPr>
        <w:t xml:space="preserve">  </w:t>
      </w:r>
      <w:r>
        <w:rPr>
          <w:rFonts w:hint="eastAsia" w:ascii="宋体" w:hAnsi="宋体" w:cs="宋体"/>
          <w:kern w:val="0"/>
        </w:rPr>
        <w:tab/>
      </w:r>
      <w:r>
        <w:rPr>
          <w:rFonts w:ascii="宋体" w:hAnsi="宋体" w:cs="宋体"/>
          <w:kern w:val="0"/>
        </w:rPr>
        <w:t xml:space="preserve">                           </w:t>
      </w:r>
      <w:r>
        <w:rPr>
          <w:rFonts w:hint="eastAsia" w:ascii="宋体" w:hAnsi="宋体" w:cs="宋体"/>
          <w:kern w:val="0"/>
        </w:rPr>
        <w:t>（</w:t>
      </w:r>
      <w:r>
        <w:rPr>
          <w:rFonts w:ascii="宋体" w:hAnsi="宋体" w:cs="宋体"/>
          <w:bCs/>
          <w:kern w:val="0"/>
        </w:rPr>
        <w:t>10</w:t>
      </w:r>
      <w:r>
        <w:rPr>
          <w:rFonts w:hint="eastAsia" w:ascii="宋体" w:hAnsi="宋体" w:cs="宋体"/>
          <w:kern w:val="0"/>
        </w:rPr>
        <w:t>）</w:t>
      </w:r>
    </w:p>
    <w:p>
      <w:pPr>
        <w:keepNext w:val="0"/>
        <w:keepLines w:val="0"/>
        <w:pageBreakBefore w:val="0"/>
        <w:widowControl/>
        <w:numPr>
          <w:ilvl w:val="255"/>
          <w:numId w:val="0"/>
        </w:numPr>
        <w:kinsoku/>
        <w:wordWrap/>
        <w:overflowPunct/>
        <w:topLinePunct w:val="0"/>
        <w:bidi w:val="0"/>
        <w:adjustRightInd/>
        <w:spacing w:line="240" w:lineRule="auto"/>
        <w:ind w:firstLine="420" w:firstLineChars="200"/>
        <w:jc w:val="left"/>
        <w:textAlignment w:val="auto"/>
        <w:rPr>
          <w:rFonts w:ascii="宋体" w:hAnsi="宋体" w:cs="宋体"/>
          <w:kern w:val="0"/>
        </w:rPr>
      </w:pPr>
      <w:r>
        <w:rPr>
          <w:rFonts w:hint="eastAsia" w:ascii="宋体" w:hAnsi="宋体" w:cs="宋体"/>
          <w:kern w:val="0"/>
        </w:rPr>
        <w:t>式中：</w:t>
      </w:r>
    </w:p>
    <w:p>
      <w:pPr>
        <w:keepNext w:val="0"/>
        <w:keepLines w:val="0"/>
        <w:pageBreakBefore w:val="0"/>
        <w:widowControl/>
        <w:numPr>
          <w:ilvl w:val="255"/>
          <w:numId w:val="0"/>
        </w:numPr>
        <w:kinsoku/>
        <w:wordWrap/>
        <w:overflowPunct/>
        <w:topLinePunct w:val="0"/>
        <w:bidi w:val="0"/>
        <w:adjustRightInd/>
        <w:spacing w:line="240" w:lineRule="auto"/>
        <w:ind w:firstLine="420" w:firstLineChars="200"/>
        <w:jc w:val="left"/>
        <w:textAlignment w:val="auto"/>
        <w:rPr>
          <w:rFonts w:ascii="宋体" w:hAnsi="宋体" w:cs="宋体"/>
          <w:kern w:val="0"/>
        </w:rPr>
      </w:pPr>
      <m:oMath>
        <m:sSub>
          <m:sSubPr>
            <m:ctrlPr>
              <w:rPr>
                <w:rFonts w:hint="eastAsia" w:ascii="Cambria Math" w:hAnsi="Cambria Math" w:cs="宋体"/>
                <w:bCs/>
                <w:kern w:val="0"/>
              </w:rPr>
            </m:ctrlPr>
          </m:sSubPr>
          <m:e>
            <m:r>
              <m:rPr/>
              <w:rPr>
                <w:rFonts w:hint="eastAsia" w:ascii="Cambria Math" w:hAnsi="Cambria Math" w:cs="宋体"/>
                <w:kern w:val="0"/>
              </w:rPr>
              <m:t>AD</m:t>
            </m:r>
            <m:ctrlPr>
              <w:rPr>
                <w:rFonts w:hint="eastAsia" w:ascii="Cambria Math" w:hAnsi="Cambria Math" w:cs="宋体"/>
                <w:bCs/>
                <w:kern w:val="0"/>
              </w:rPr>
            </m:ctrlPr>
          </m:e>
          <m:sub>
            <m:r>
              <m:rPr/>
              <w:rPr>
                <w:rFonts w:hint="eastAsia" w:ascii="Cambria Math" w:hAnsi="Cambria Math" w:cs="宋体"/>
                <w:kern w:val="0"/>
              </w:rPr>
              <m:t>i</m:t>
            </m:r>
            <m:ctrlPr>
              <w:rPr>
                <w:rFonts w:hint="eastAsia" w:ascii="Cambria Math" w:hAnsi="Cambria Math" w:cs="宋体"/>
                <w:bCs/>
                <w:kern w:val="0"/>
              </w:rPr>
            </m:ctrlPr>
          </m:sub>
        </m:sSub>
      </m:oMath>
      <w:r>
        <w:rPr>
          <w:rFonts w:hint="eastAsia" w:ascii="宋体" w:hAnsi="宋体" w:cs="宋体"/>
          <w:kern w:val="0"/>
        </w:rPr>
        <w:t>——每立方米预拌混凝土生产中第</w:t>
      </w:r>
      <w:r>
        <w:rPr>
          <w:rFonts w:hint="eastAsia" w:ascii="宋体" w:hAnsi="宋体" w:cs="宋体"/>
          <w:i/>
          <w:iCs/>
          <w:kern w:val="0"/>
        </w:rPr>
        <w:t>i</w:t>
      </w:r>
      <w:r>
        <w:rPr>
          <w:rFonts w:hint="eastAsia" w:ascii="宋体" w:hAnsi="宋体" w:cs="宋体"/>
          <w:kern w:val="0"/>
        </w:rPr>
        <w:t>种能源资源的消耗量；</w:t>
      </w:r>
    </w:p>
    <w:p>
      <w:pPr>
        <w:keepNext w:val="0"/>
        <w:keepLines w:val="0"/>
        <w:pageBreakBefore w:val="0"/>
        <w:widowControl/>
        <w:numPr>
          <w:ilvl w:val="255"/>
          <w:numId w:val="0"/>
        </w:numPr>
        <w:kinsoku/>
        <w:wordWrap/>
        <w:overflowPunct/>
        <w:topLinePunct w:val="0"/>
        <w:bidi w:val="0"/>
        <w:adjustRightInd/>
        <w:spacing w:line="240" w:lineRule="auto"/>
        <w:ind w:firstLine="420" w:firstLineChars="200"/>
        <w:jc w:val="left"/>
        <w:textAlignment w:val="auto"/>
        <w:rPr>
          <w:rFonts w:ascii="宋体" w:hAnsi="宋体" w:cs="宋体"/>
          <w:kern w:val="0"/>
        </w:rPr>
      </w:pPr>
      <m:oMath>
        <m:sSub>
          <m:sSubPr>
            <m:ctrlPr>
              <w:rPr>
                <w:rFonts w:hint="eastAsia" w:ascii="Cambria Math" w:hAnsi="Cambria Math" w:cs="宋体"/>
                <w:bCs/>
                <w:kern w:val="0"/>
              </w:rPr>
            </m:ctrlPr>
          </m:sSubPr>
          <m:e>
            <m:r>
              <m:rPr/>
              <w:rPr>
                <w:rFonts w:hint="eastAsia" w:ascii="Cambria Math" w:hAnsi="Cambria Math" w:cs="宋体"/>
                <w:kern w:val="0"/>
              </w:rPr>
              <m:t>AD</m:t>
            </m:r>
            <m:ctrlPr>
              <w:rPr>
                <w:rFonts w:hint="eastAsia" w:ascii="Cambria Math" w:hAnsi="Cambria Math" w:cs="宋体"/>
                <w:bCs/>
                <w:kern w:val="0"/>
              </w:rPr>
            </m:ctrlPr>
          </m:e>
          <m:sub>
            <m:r>
              <m:rPr/>
              <w:rPr>
                <w:rFonts w:hint="eastAsia" w:ascii="Cambria Math" w:hAnsi="Cambria Math" w:cs="宋体"/>
                <w:kern w:val="0"/>
              </w:rPr>
              <m:t>i,z</m:t>
            </m:r>
            <m:ctrlPr>
              <w:rPr>
                <w:rFonts w:hint="eastAsia" w:ascii="Cambria Math" w:hAnsi="Cambria Math" w:cs="宋体"/>
                <w:bCs/>
                <w:kern w:val="0"/>
              </w:rPr>
            </m:ctrlPr>
          </m:sub>
        </m:sSub>
      </m:oMath>
      <w:r>
        <w:rPr>
          <w:rFonts w:hint="eastAsia" w:ascii="宋体" w:hAnsi="宋体" w:cs="宋体"/>
          <w:kern w:val="0"/>
        </w:rPr>
        <w:t>——统计期内预拌混凝土生产线中第</w:t>
      </w:r>
      <w:r>
        <w:rPr>
          <w:rFonts w:hint="eastAsia" w:ascii="宋体" w:hAnsi="宋体" w:cs="宋体"/>
          <w:i/>
          <w:iCs/>
          <w:kern w:val="0"/>
        </w:rPr>
        <w:t>i</w:t>
      </w:r>
      <w:r>
        <w:rPr>
          <w:rFonts w:hint="eastAsia" w:ascii="宋体" w:hAnsi="宋体" w:cs="宋体"/>
          <w:kern w:val="0"/>
        </w:rPr>
        <w:t>种能源资源的消耗总量；</w:t>
      </w:r>
    </w:p>
    <w:p>
      <w:pPr>
        <w:keepNext w:val="0"/>
        <w:keepLines w:val="0"/>
        <w:pageBreakBefore w:val="0"/>
        <w:widowControl/>
        <w:numPr>
          <w:ilvl w:val="255"/>
          <w:numId w:val="0"/>
        </w:numPr>
        <w:kinsoku/>
        <w:wordWrap/>
        <w:overflowPunct/>
        <w:topLinePunct w:val="0"/>
        <w:bidi w:val="0"/>
        <w:adjustRightInd/>
        <w:spacing w:line="240" w:lineRule="auto"/>
        <w:ind w:firstLine="420" w:firstLineChars="200"/>
        <w:jc w:val="left"/>
        <w:textAlignment w:val="auto"/>
        <w:rPr>
          <w:rFonts w:ascii="宋体" w:hAnsi="宋体" w:cs="宋体"/>
          <w:kern w:val="0"/>
        </w:rPr>
      </w:pPr>
      <m:oMath>
        <m:r>
          <m:rPr/>
          <w:rPr>
            <w:rFonts w:hint="eastAsia" w:ascii="Cambria Math" w:hAnsi="Cambria Math" w:cs="宋体"/>
            <w:kern w:val="0"/>
          </w:rPr>
          <m:t>Q</m:t>
        </m:r>
      </m:oMath>
      <w:r>
        <w:rPr>
          <w:rFonts w:hint="eastAsia" w:ascii="宋体" w:hAnsi="宋体" w:cs="宋体"/>
          <w:kern w:val="0"/>
        </w:rPr>
        <w:t>——统计期内符合相关标准的合格预拌混凝土产品产量。</w:t>
      </w:r>
    </w:p>
    <w:p>
      <w:pPr>
        <w:pStyle w:val="213"/>
        <w:keepNext w:val="0"/>
        <w:keepLines w:val="0"/>
        <w:pageBreakBefore w:val="0"/>
        <w:kinsoku/>
        <w:wordWrap/>
        <w:overflowPunct/>
        <w:topLinePunct w:val="0"/>
        <w:bidi w:val="0"/>
        <w:adjustRightInd/>
        <w:spacing w:line="240" w:lineRule="auto"/>
        <w:textAlignment w:val="auto"/>
      </w:pPr>
      <w:r>
        <w:rPr>
          <w:rFonts w:hint="eastAsia"/>
        </w:rPr>
        <w:t>预拌混凝土产生中人工消耗的碳排放量应按下式计算：</w:t>
      </w:r>
    </w:p>
    <w:p>
      <w:pPr>
        <w:keepNext w:val="0"/>
        <w:keepLines w:val="0"/>
        <w:pageBreakBefore w:val="0"/>
        <w:widowControl/>
        <w:numPr>
          <w:ilvl w:val="255"/>
          <w:numId w:val="0"/>
        </w:numPr>
        <w:tabs>
          <w:tab w:val="center" w:pos="4150"/>
          <w:tab w:val="right" w:pos="8301"/>
        </w:tabs>
        <w:kinsoku/>
        <w:wordWrap/>
        <w:overflowPunct/>
        <w:topLinePunct w:val="0"/>
        <w:bidi w:val="0"/>
        <w:adjustRightInd/>
        <w:spacing w:line="240" w:lineRule="auto"/>
        <w:ind w:left="851" w:hanging="426"/>
        <w:jc w:val="right"/>
        <w:textAlignment w:val="auto"/>
        <w:rPr>
          <w:rFonts w:ascii="宋体" w:hAnsi="宋体" w:cs="宋体"/>
          <w:kern w:val="0"/>
        </w:rPr>
      </w:pPr>
      <w:r>
        <w:rPr>
          <w:rFonts w:hint="eastAsia" w:ascii="宋体" w:hAnsi="宋体" w:cs="宋体"/>
          <w:kern w:val="0"/>
        </w:rPr>
        <w:tab/>
      </w:r>
      <w:r>
        <w:rPr>
          <w:rFonts w:hint="eastAsia" w:ascii="宋体" w:hAnsi="宋体" w:cs="宋体"/>
          <w:kern w:val="0"/>
        </w:rPr>
        <w:t xml:space="preserve">             </w:t>
      </w:r>
      <m:oMath>
        <m:sSub>
          <m:sSubPr>
            <m:ctrlPr>
              <w:rPr>
                <w:rFonts w:hint="eastAsia" w:ascii="Cambria Math" w:hAnsi="Cambria Math" w:cs="宋体"/>
                <w:kern w:val="0"/>
              </w:rPr>
            </m:ctrlPr>
          </m:sSubPr>
          <m:e>
            <m:r>
              <m:rPr/>
              <w:rPr>
                <w:rFonts w:hint="eastAsia" w:ascii="Cambria Math" w:hAnsi="Cambria Math" w:cs="宋体"/>
                <w:kern w:val="0"/>
              </w:rPr>
              <m:t>C</m:t>
            </m:r>
            <m:ctrlPr>
              <w:rPr>
                <w:rFonts w:hint="eastAsia" w:ascii="Cambria Math" w:hAnsi="Cambria Math" w:cs="宋体"/>
                <w:kern w:val="0"/>
              </w:rPr>
            </m:ctrlPr>
          </m:e>
          <m:sub>
            <m:r>
              <m:rPr>
                <m:sty m:val="p"/>
              </m:rPr>
              <w:rPr>
                <w:rFonts w:hint="eastAsia" w:ascii="Cambria Math" w:hAnsi="Cambria Math" w:cs="宋体"/>
                <w:kern w:val="0"/>
              </w:rPr>
              <m:t>4</m:t>
            </m:r>
            <m:ctrlPr>
              <w:rPr>
                <w:rFonts w:hint="eastAsia" w:ascii="Cambria Math" w:hAnsi="Cambria Math" w:cs="宋体"/>
                <w:kern w:val="0"/>
              </w:rPr>
            </m:ctrlPr>
          </m:sub>
        </m:sSub>
        <m:r>
          <m:rPr>
            <m:sty m:val="p"/>
          </m:rPr>
          <w:rPr>
            <w:rFonts w:hint="eastAsia" w:ascii="Cambria Math" w:hAnsi="Cambria Math" w:cs="宋体"/>
            <w:kern w:val="0"/>
          </w:rPr>
          <m:t>=</m:t>
        </m:r>
        <m:sSub>
          <m:sSubPr>
            <m:ctrlPr>
              <w:rPr>
                <w:rFonts w:hint="eastAsia" w:ascii="Cambria Math" w:hAnsi="Cambria Math" w:cs="宋体"/>
                <w:kern w:val="0"/>
              </w:rPr>
            </m:ctrlPr>
          </m:sSubPr>
          <m:e>
            <m:r>
              <m:rPr/>
              <w:rPr>
                <w:rFonts w:hint="eastAsia" w:ascii="Cambria Math" w:hAnsi="Cambria Math" w:cs="宋体"/>
                <w:kern w:val="0"/>
              </w:rPr>
              <m:t>E</m:t>
            </m:r>
            <m:ctrlPr>
              <w:rPr>
                <w:rFonts w:hint="eastAsia" w:ascii="Cambria Math" w:hAnsi="Cambria Math" w:cs="宋体"/>
                <w:kern w:val="0"/>
              </w:rPr>
            </m:ctrlPr>
          </m:e>
          <m:sub>
            <m:r>
              <m:rPr/>
              <w:rPr>
                <w:rFonts w:hint="eastAsia" w:ascii="Cambria Math" w:hAnsi="Cambria Math" w:cs="宋体"/>
                <w:kern w:val="0"/>
              </w:rPr>
              <m:t>r</m:t>
            </m:r>
            <m:ctrlPr>
              <w:rPr>
                <w:rFonts w:hint="eastAsia" w:ascii="Cambria Math" w:hAnsi="Cambria Math" w:cs="宋体"/>
                <w:kern w:val="0"/>
              </w:rPr>
            </m:ctrlPr>
          </m:sub>
        </m:sSub>
        <m:r>
          <m:rPr>
            <m:sty m:val="p"/>
          </m:rPr>
          <w:rPr>
            <w:rFonts w:hint="eastAsia" w:ascii="Cambria Math" w:hAnsi="Cambria Math" w:cs="宋体"/>
            <w:kern w:val="0"/>
          </w:rPr>
          <m:t>×</m:t>
        </m:r>
        <m:r>
          <m:rPr/>
          <w:rPr>
            <w:rFonts w:hint="eastAsia" w:ascii="Cambria Math" w:hAnsi="Cambria Math" w:cs="宋体"/>
            <w:kern w:val="0"/>
          </w:rPr>
          <m:t>N</m:t>
        </m:r>
      </m:oMath>
      <w:r>
        <w:rPr>
          <w:rFonts w:hint="eastAsia" w:ascii="宋体" w:hAnsi="宋体" w:cs="宋体"/>
          <w:kern w:val="0"/>
        </w:rPr>
        <w:t xml:space="preserve">     </w:t>
      </w:r>
      <w:r>
        <w:rPr>
          <w:rFonts w:ascii="宋体" w:hAnsi="宋体" w:cs="宋体"/>
          <w:kern w:val="0"/>
        </w:rPr>
        <w:t xml:space="preserve"> </w:t>
      </w:r>
      <w:r>
        <w:rPr>
          <w:rFonts w:hint="eastAsia" w:ascii="宋体" w:hAnsi="宋体" w:cs="宋体"/>
          <w:kern w:val="0"/>
        </w:rPr>
        <w:t xml:space="preserve">  </w:t>
      </w:r>
      <w:r>
        <w:rPr>
          <w:rFonts w:ascii="宋体" w:hAnsi="宋体" w:cs="宋体"/>
          <w:kern w:val="0"/>
        </w:rPr>
        <w:t xml:space="preserve">                        </w:t>
      </w:r>
      <w:r>
        <w:rPr>
          <w:rFonts w:hint="eastAsia" w:ascii="宋体" w:hAnsi="宋体" w:cs="宋体"/>
          <w:kern w:val="0"/>
        </w:rPr>
        <w:t>（</w:t>
      </w:r>
      <w:r>
        <w:rPr>
          <w:rFonts w:ascii="宋体" w:hAnsi="宋体" w:cs="宋体"/>
          <w:bCs/>
          <w:kern w:val="0"/>
        </w:rPr>
        <w:t>11</w:t>
      </w:r>
      <w:r>
        <w:rPr>
          <w:rFonts w:hint="eastAsia" w:ascii="宋体" w:hAnsi="宋体" w:cs="宋体"/>
          <w:kern w:val="0"/>
        </w:rPr>
        <w:t>）</w:t>
      </w:r>
    </w:p>
    <w:p>
      <w:pPr>
        <w:keepNext w:val="0"/>
        <w:keepLines w:val="0"/>
        <w:pageBreakBefore w:val="0"/>
        <w:widowControl/>
        <w:numPr>
          <w:ilvl w:val="255"/>
          <w:numId w:val="0"/>
        </w:numPr>
        <w:kinsoku/>
        <w:wordWrap/>
        <w:overflowPunct/>
        <w:topLinePunct w:val="0"/>
        <w:bidi w:val="0"/>
        <w:adjustRightInd/>
        <w:spacing w:line="240" w:lineRule="auto"/>
        <w:ind w:firstLine="420" w:firstLineChars="200"/>
        <w:jc w:val="left"/>
        <w:textAlignment w:val="auto"/>
        <w:rPr>
          <w:rFonts w:ascii="宋体" w:hAnsi="宋体" w:cs="宋体"/>
          <w:bCs/>
          <w:kern w:val="0"/>
        </w:rPr>
      </w:pPr>
      <w:r>
        <w:rPr>
          <w:rFonts w:hint="eastAsia" w:ascii="宋体" w:hAnsi="宋体" w:cs="宋体"/>
          <w:bCs/>
          <w:kern w:val="0"/>
        </w:rPr>
        <w:t>式中：</w:t>
      </w:r>
    </w:p>
    <w:p>
      <w:pPr>
        <w:keepNext w:val="0"/>
        <w:keepLines w:val="0"/>
        <w:pageBreakBefore w:val="0"/>
        <w:widowControl/>
        <w:numPr>
          <w:ilvl w:val="255"/>
          <w:numId w:val="0"/>
        </w:numPr>
        <w:kinsoku/>
        <w:wordWrap/>
        <w:overflowPunct/>
        <w:topLinePunct w:val="0"/>
        <w:bidi w:val="0"/>
        <w:adjustRightInd/>
        <w:spacing w:line="240" w:lineRule="auto"/>
        <w:ind w:firstLine="420" w:firstLineChars="200"/>
        <w:jc w:val="left"/>
        <w:textAlignment w:val="auto"/>
        <w:rPr>
          <w:rFonts w:ascii="宋体" w:hAnsi="宋体" w:cs="宋体"/>
          <w:bCs/>
          <w:kern w:val="0"/>
        </w:rPr>
      </w:pPr>
      <m:oMath>
        <m:sSub>
          <m:sSubPr>
            <m:ctrlPr>
              <w:rPr>
                <w:rFonts w:hint="eastAsia" w:ascii="Cambria Math" w:hAnsi="Cambria Math" w:cs="宋体"/>
                <w:bCs/>
                <w:i/>
                <w:kern w:val="0"/>
              </w:rPr>
            </m:ctrlPr>
          </m:sSubPr>
          <m:e>
            <m:r>
              <m:rPr/>
              <w:rPr>
                <w:rFonts w:hint="eastAsia" w:ascii="Cambria Math" w:hAnsi="Cambria Math" w:cs="宋体"/>
                <w:kern w:val="0"/>
              </w:rPr>
              <m:t>E</m:t>
            </m:r>
            <m:ctrlPr>
              <w:rPr>
                <w:rFonts w:hint="eastAsia" w:ascii="Cambria Math" w:hAnsi="Cambria Math" w:cs="宋体"/>
                <w:bCs/>
                <w:i/>
                <w:kern w:val="0"/>
              </w:rPr>
            </m:ctrlPr>
          </m:e>
          <m:sub>
            <m:r>
              <m:rPr/>
              <w:rPr>
                <w:rFonts w:hint="eastAsia" w:ascii="Cambria Math" w:hAnsi="Cambria Math" w:cs="宋体"/>
                <w:kern w:val="0"/>
              </w:rPr>
              <m:t>r</m:t>
            </m:r>
            <m:ctrlPr>
              <w:rPr>
                <w:rFonts w:hint="eastAsia" w:ascii="Cambria Math" w:hAnsi="Cambria Math" w:cs="宋体"/>
                <w:bCs/>
                <w:i/>
                <w:kern w:val="0"/>
              </w:rPr>
            </m:ctrlPr>
          </m:sub>
        </m:sSub>
      </m:oMath>
      <w:r>
        <w:rPr>
          <w:rFonts w:hint="eastAsia" w:ascii="宋体" w:hAnsi="宋体" w:cs="宋体"/>
          <w:bCs/>
          <w:kern w:val="0"/>
        </w:rPr>
        <w:t>——综合人工工日碳排放因子，为1.11 kgCO</w:t>
      </w:r>
      <w:r>
        <w:rPr>
          <w:rFonts w:hint="eastAsia" w:ascii="宋体" w:hAnsi="宋体" w:cs="宋体"/>
          <w:bCs/>
          <w:kern w:val="0"/>
          <w:vertAlign w:val="subscript"/>
        </w:rPr>
        <w:t>2</w:t>
      </w:r>
      <w:r>
        <w:rPr>
          <w:rFonts w:hint="eastAsia" w:ascii="宋体" w:hAnsi="宋体" w:cs="宋体"/>
          <w:bCs/>
          <w:kern w:val="0"/>
        </w:rPr>
        <w:t>e/工日；</w:t>
      </w:r>
    </w:p>
    <w:p>
      <w:pPr>
        <w:keepNext w:val="0"/>
        <w:keepLines w:val="0"/>
        <w:pageBreakBefore w:val="0"/>
        <w:widowControl/>
        <w:numPr>
          <w:ilvl w:val="255"/>
          <w:numId w:val="0"/>
        </w:numPr>
        <w:kinsoku/>
        <w:wordWrap/>
        <w:overflowPunct/>
        <w:topLinePunct w:val="0"/>
        <w:bidi w:val="0"/>
        <w:adjustRightInd/>
        <w:spacing w:line="240" w:lineRule="auto"/>
        <w:ind w:firstLine="420" w:firstLineChars="200"/>
        <w:jc w:val="left"/>
        <w:textAlignment w:val="auto"/>
        <w:rPr>
          <w:rFonts w:ascii="宋体" w:hAnsi="宋体" w:cs="宋体"/>
          <w:bCs/>
          <w:kern w:val="0"/>
        </w:rPr>
      </w:pPr>
      <m:oMath>
        <m:r>
          <m:rPr/>
          <w:rPr>
            <w:rFonts w:hint="eastAsia" w:ascii="Cambria Math" w:hAnsi="Cambria Math" w:cs="宋体"/>
            <w:kern w:val="0"/>
          </w:rPr>
          <m:t>N</m:t>
        </m:r>
      </m:oMath>
      <w:r>
        <w:rPr>
          <w:rFonts w:hint="eastAsia" w:ascii="宋体" w:hAnsi="宋体" w:cs="宋体"/>
          <w:bCs/>
          <w:kern w:val="0"/>
        </w:rPr>
        <w:t>——每立方米预拌混凝土生产所消耗的工日数。</w:t>
      </w:r>
    </w:p>
    <w:p>
      <w:pPr>
        <w:keepNext w:val="0"/>
        <w:keepLines w:val="0"/>
        <w:pageBreakBefore w:val="0"/>
        <w:widowControl/>
        <w:numPr>
          <w:ilvl w:val="255"/>
          <w:numId w:val="0"/>
        </w:numPr>
        <w:kinsoku/>
        <w:wordWrap/>
        <w:overflowPunct/>
        <w:topLinePunct w:val="0"/>
        <w:bidi w:val="0"/>
        <w:adjustRightInd/>
        <w:spacing w:line="240" w:lineRule="auto"/>
        <w:ind w:firstLine="420" w:firstLineChars="200"/>
        <w:jc w:val="left"/>
        <w:textAlignment w:val="auto"/>
        <w:rPr>
          <w:rFonts w:ascii="宋体" w:hAnsi="宋体" w:cs="宋体"/>
          <w:bCs/>
          <w:kern w:val="0"/>
        </w:rPr>
      </w:pPr>
      <w:r>
        <w:rPr>
          <w:rFonts w:hint="eastAsia" w:ascii="宋体" w:hAnsi="宋体" w:cs="宋体"/>
          <w:bCs/>
          <w:kern w:val="0"/>
        </w:rPr>
        <w:t>当具体型号</w:t>
      </w:r>
      <w:r>
        <w:rPr>
          <w:rFonts w:hint="eastAsia" w:ascii="宋体" w:hAnsi="宋体" w:cs="宋体"/>
          <w:kern w:val="0"/>
        </w:rPr>
        <w:t>预拌混凝土</w:t>
      </w:r>
      <w:r>
        <w:rPr>
          <w:rFonts w:hint="eastAsia" w:ascii="宋体" w:hAnsi="宋体" w:cs="宋体"/>
          <w:bCs/>
          <w:kern w:val="0"/>
        </w:rPr>
        <w:t>生产由人工消耗的碳排放难以通过实测法准确测量时，需将人工工日总量按照</w:t>
      </w:r>
      <w:r>
        <w:rPr>
          <w:rFonts w:hint="eastAsia" w:ascii="宋体" w:hAnsi="宋体" w:cs="宋体"/>
          <w:kern w:val="0"/>
        </w:rPr>
        <w:t>预拌混凝土</w:t>
      </w:r>
      <w:r>
        <w:rPr>
          <w:rFonts w:hint="eastAsia" w:ascii="宋体" w:hAnsi="宋体" w:cs="宋体"/>
          <w:bCs/>
          <w:kern w:val="0"/>
        </w:rPr>
        <w:t>生产量进行分摊，应按下式计算：</w:t>
      </w:r>
    </w:p>
    <w:p>
      <w:pPr>
        <w:keepNext w:val="0"/>
        <w:keepLines w:val="0"/>
        <w:pageBreakBefore w:val="0"/>
        <w:widowControl/>
        <w:numPr>
          <w:ilvl w:val="255"/>
          <w:numId w:val="0"/>
        </w:numPr>
        <w:tabs>
          <w:tab w:val="center" w:pos="4150"/>
          <w:tab w:val="right" w:pos="8301"/>
        </w:tabs>
        <w:kinsoku/>
        <w:wordWrap/>
        <w:overflowPunct/>
        <w:topLinePunct w:val="0"/>
        <w:bidi w:val="0"/>
        <w:adjustRightInd/>
        <w:spacing w:line="240" w:lineRule="auto"/>
        <w:ind w:left="851" w:hanging="426"/>
        <w:jc w:val="right"/>
        <w:textAlignment w:val="auto"/>
        <w:rPr>
          <w:rFonts w:ascii="宋体" w:hAnsi="宋体" w:cs="宋体"/>
          <w:kern w:val="0"/>
        </w:rPr>
      </w:pPr>
      <w:r>
        <w:rPr>
          <w:rFonts w:hint="eastAsia" w:ascii="宋体" w:hAnsi="宋体" w:cs="宋体"/>
          <w:kern w:val="0"/>
        </w:rPr>
        <w:tab/>
      </w:r>
      <m:oMath>
        <m:r>
          <m:rPr/>
          <w:rPr>
            <w:rFonts w:hint="eastAsia" w:ascii="Cambria Math" w:hAnsi="Cambria Math" w:cs="宋体"/>
            <w:kern w:val="0"/>
          </w:rPr>
          <m:t>N</m:t>
        </m:r>
        <m:r>
          <m:rPr>
            <m:sty m:val="p"/>
          </m:rPr>
          <w:rPr>
            <w:rFonts w:hint="eastAsia" w:ascii="Cambria Math" w:hAnsi="Cambria Math" w:cs="宋体"/>
            <w:kern w:val="0"/>
          </w:rPr>
          <m:t>=</m:t>
        </m:r>
        <m:f>
          <m:fPr>
            <m:ctrlPr>
              <w:rPr>
                <w:rFonts w:hint="eastAsia" w:ascii="Cambria Math" w:hAnsi="Cambria Math" w:cs="宋体"/>
                <w:kern w:val="0"/>
              </w:rPr>
            </m:ctrlPr>
          </m:fPr>
          <m:num>
            <m:sSub>
              <m:sSubPr>
                <m:ctrlPr>
                  <w:rPr>
                    <w:rFonts w:hint="eastAsia" w:ascii="Cambria Math" w:hAnsi="Cambria Math" w:cs="宋体"/>
                    <w:kern w:val="0"/>
                  </w:rPr>
                </m:ctrlPr>
              </m:sSubPr>
              <m:e>
                <m:r>
                  <m:rPr/>
                  <w:rPr>
                    <w:rFonts w:hint="eastAsia" w:ascii="Cambria Math" w:hAnsi="Cambria Math" w:cs="宋体"/>
                    <w:kern w:val="0"/>
                  </w:rPr>
                  <m:t>N</m:t>
                </m:r>
                <m:ctrlPr>
                  <w:rPr>
                    <w:rFonts w:hint="eastAsia" w:ascii="Cambria Math" w:hAnsi="Cambria Math" w:cs="宋体"/>
                    <w:kern w:val="0"/>
                  </w:rPr>
                </m:ctrlPr>
              </m:e>
              <m:sub>
                <m:r>
                  <m:rPr/>
                  <w:rPr>
                    <w:rFonts w:hint="eastAsia" w:ascii="Cambria Math" w:hAnsi="Cambria Math" w:cs="宋体"/>
                    <w:kern w:val="0"/>
                  </w:rPr>
                  <m:t>z</m:t>
                </m:r>
                <m:ctrlPr>
                  <w:rPr>
                    <w:rFonts w:hint="eastAsia" w:ascii="Cambria Math" w:hAnsi="Cambria Math" w:cs="宋体"/>
                    <w:kern w:val="0"/>
                  </w:rPr>
                </m:ctrlPr>
              </m:sub>
            </m:sSub>
            <m:ctrlPr>
              <w:rPr>
                <w:rFonts w:hint="eastAsia" w:ascii="Cambria Math" w:hAnsi="Cambria Math" w:cs="宋体"/>
                <w:kern w:val="0"/>
              </w:rPr>
            </m:ctrlPr>
          </m:num>
          <m:den>
            <m:r>
              <m:rPr/>
              <w:rPr>
                <w:rFonts w:hint="eastAsia" w:ascii="Cambria Math" w:hAnsi="Cambria Math" w:cs="宋体"/>
                <w:kern w:val="0"/>
              </w:rPr>
              <m:t>Q</m:t>
            </m:r>
            <m:ctrlPr>
              <w:rPr>
                <w:rFonts w:hint="eastAsia" w:ascii="Cambria Math" w:hAnsi="Cambria Math" w:cs="宋体"/>
                <w:kern w:val="0"/>
              </w:rPr>
            </m:ctrlPr>
          </m:den>
        </m:f>
      </m:oMath>
      <w:r>
        <w:rPr>
          <w:rFonts w:hint="eastAsia" w:ascii="宋体" w:hAnsi="宋体" w:cs="宋体"/>
          <w:kern w:val="0"/>
        </w:rPr>
        <w:t xml:space="preserve">  </w:t>
      </w:r>
      <w:r>
        <w:rPr>
          <w:rFonts w:ascii="宋体" w:hAnsi="宋体" w:cs="宋体"/>
          <w:kern w:val="0"/>
        </w:rPr>
        <w:t xml:space="preserve">                                 </w:t>
      </w:r>
      <w:r>
        <w:rPr>
          <w:rFonts w:hint="eastAsia" w:ascii="宋体" w:hAnsi="宋体" w:cs="宋体"/>
          <w:kern w:val="0"/>
        </w:rPr>
        <w:t>（</w:t>
      </w:r>
      <w:r>
        <w:rPr>
          <w:rFonts w:ascii="宋体" w:hAnsi="宋体" w:cs="宋体"/>
          <w:bCs/>
          <w:kern w:val="0"/>
        </w:rPr>
        <w:t>12</w:t>
      </w:r>
      <w:r>
        <w:rPr>
          <w:rFonts w:hint="eastAsia" w:ascii="宋体" w:hAnsi="宋体" w:cs="宋体"/>
          <w:kern w:val="0"/>
        </w:rPr>
        <w:t>）</w:t>
      </w:r>
    </w:p>
    <w:p>
      <w:pPr>
        <w:keepNext w:val="0"/>
        <w:keepLines w:val="0"/>
        <w:pageBreakBefore w:val="0"/>
        <w:widowControl/>
        <w:numPr>
          <w:ilvl w:val="255"/>
          <w:numId w:val="0"/>
        </w:numPr>
        <w:kinsoku/>
        <w:wordWrap/>
        <w:overflowPunct/>
        <w:topLinePunct w:val="0"/>
        <w:bidi w:val="0"/>
        <w:adjustRightInd/>
        <w:spacing w:line="240" w:lineRule="auto"/>
        <w:ind w:firstLine="420" w:firstLineChars="200"/>
        <w:jc w:val="left"/>
        <w:textAlignment w:val="auto"/>
        <w:rPr>
          <w:rFonts w:ascii="宋体" w:hAnsi="宋体" w:cs="宋体"/>
          <w:kern w:val="0"/>
        </w:rPr>
      </w:pPr>
      <w:r>
        <w:rPr>
          <w:rFonts w:hint="eastAsia" w:ascii="宋体" w:hAnsi="宋体" w:cs="宋体"/>
          <w:kern w:val="0"/>
        </w:rPr>
        <w:t>式中：</w:t>
      </w:r>
    </w:p>
    <w:p>
      <w:pPr>
        <w:keepNext w:val="0"/>
        <w:keepLines w:val="0"/>
        <w:pageBreakBefore w:val="0"/>
        <w:widowControl/>
        <w:numPr>
          <w:ilvl w:val="255"/>
          <w:numId w:val="0"/>
        </w:numPr>
        <w:kinsoku/>
        <w:wordWrap/>
        <w:overflowPunct/>
        <w:topLinePunct w:val="0"/>
        <w:bidi w:val="0"/>
        <w:adjustRightInd/>
        <w:spacing w:line="240" w:lineRule="auto"/>
        <w:ind w:firstLine="420" w:firstLineChars="200"/>
        <w:jc w:val="left"/>
        <w:textAlignment w:val="auto"/>
        <w:rPr>
          <w:rFonts w:ascii="宋体" w:hAnsi="宋体" w:cs="宋体"/>
          <w:kern w:val="0"/>
        </w:rPr>
      </w:pPr>
      <m:oMath>
        <m:sSub>
          <m:sSubPr>
            <m:ctrlPr>
              <w:rPr>
                <w:rFonts w:hint="eastAsia" w:ascii="Cambria Math" w:hAnsi="Cambria Math" w:cs="宋体"/>
                <w:kern w:val="0"/>
              </w:rPr>
            </m:ctrlPr>
          </m:sSubPr>
          <m:e>
            <m:r>
              <m:rPr/>
              <w:rPr>
                <w:rFonts w:hint="eastAsia" w:ascii="Cambria Math" w:hAnsi="Cambria Math" w:cs="宋体"/>
                <w:kern w:val="0"/>
              </w:rPr>
              <m:t>N</m:t>
            </m:r>
            <m:ctrlPr>
              <w:rPr>
                <w:rFonts w:hint="eastAsia" w:ascii="Cambria Math" w:hAnsi="Cambria Math" w:cs="宋体"/>
                <w:kern w:val="0"/>
              </w:rPr>
            </m:ctrlPr>
          </m:e>
          <m:sub>
            <m:r>
              <m:rPr/>
              <w:rPr>
                <w:rFonts w:hint="eastAsia" w:ascii="Cambria Math" w:hAnsi="Cambria Math" w:cs="宋体"/>
                <w:kern w:val="0"/>
              </w:rPr>
              <m:t>z</m:t>
            </m:r>
            <m:ctrlPr>
              <w:rPr>
                <w:rFonts w:hint="eastAsia" w:ascii="Cambria Math" w:hAnsi="Cambria Math" w:cs="宋体"/>
                <w:kern w:val="0"/>
              </w:rPr>
            </m:ctrlPr>
          </m:sub>
        </m:sSub>
      </m:oMath>
      <w:r>
        <w:rPr>
          <w:rFonts w:hint="eastAsia" w:ascii="宋体" w:hAnsi="宋体" w:cs="宋体"/>
          <w:kern w:val="0"/>
        </w:rPr>
        <w:t>——统计期内预拌混凝土生产所消耗的人工</w:t>
      </w:r>
      <w:r>
        <w:rPr>
          <w:rFonts w:hint="eastAsia" w:ascii="宋体" w:hAnsi="宋体" w:cs="宋体"/>
          <w:bCs/>
          <w:kern w:val="0"/>
        </w:rPr>
        <w:t>工日总数</w:t>
      </w:r>
      <w:r>
        <w:rPr>
          <w:rFonts w:hint="eastAsia" w:ascii="宋体" w:hAnsi="宋体" w:cs="宋体"/>
          <w:kern w:val="0"/>
        </w:rPr>
        <w:t>；</w:t>
      </w:r>
    </w:p>
    <w:p>
      <w:pPr>
        <w:keepNext w:val="0"/>
        <w:keepLines w:val="0"/>
        <w:pageBreakBefore w:val="0"/>
        <w:widowControl/>
        <w:numPr>
          <w:ilvl w:val="255"/>
          <w:numId w:val="0"/>
        </w:numPr>
        <w:kinsoku/>
        <w:wordWrap/>
        <w:overflowPunct/>
        <w:topLinePunct w:val="0"/>
        <w:bidi w:val="0"/>
        <w:adjustRightInd/>
        <w:spacing w:line="240" w:lineRule="auto"/>
        <w:ind w:firstLine="420" w:firstLineChars="200"/>
        <w:jc w:val="left"/>
        <w:textAlignment w:val="auto"/>
        <w:rPr>
          <w:rFonts w:ascii="宋体" w:hAnsi="宋体" w:cs="宋体"/>
          <w:kern w:val="0"/>
        </w:rPr>
      </w:pPr>
      <m:oMath>
        <m:r>
          <m:rPr/>
          <w:rPr>
            <w:rFonts w:hint="eastAsia" w:ascii="Cambria Math" w:hAnsi="Cambria Math" w:cs="宋体"/>
            <w:kern w:val="0"/>
          </w:rPr>
          <m:t>Q</m:t>
        </m:r>
      </m:oMath>
      <w:r>
        <w:rPr>
          <w:rFonts w:hint="eastAsia" w:ascii="宋体" w:hAnsi="宋体" w:cs="宋体"/>
          <w:kern w:val="0"/>
        </w:rPr>
        <w:t>——统计期内符合相关标准的合格预拌混凝土产品产量。</w:t>
      </w:r>
    </w:p>
    <w:p>
      <w:pPr>
        <w:pStyle w:val="200"/>
      </w:pPr>
    </w:p>
    <w:p>
      <w:pPr>
        <w:pStyle w:val="200"/>
      </w:pPr>
      <w:r>
        <w:rPr>
          <w:rFonts w:hint="eastAsia"/>
        </w:rPr>
        <w:t>1、钢丝绳起吊料石</w:t>
      </w:r>
    </w:p>
    <w:p>
      <w:pPr>
        <w:pStyle w:val="200"/>
      </w:pPr>
      <w:r>
        <w:rPr>
          <w:rFonts w:hint="eastAsia"/>
        </w:rPr>
        <w:t>A、起吊装置</w:t>
      </w:r>
    </w:p>
    <w:bookmarkEnd w:id="105"/>
    <w:p>
      <w:pPr>
        <w:spacing w:line="240" w:lineRule="auto"/>
        <w:jc w:val="center"/>
      </w:pPr>
    </w:p>
    <w:p>
      <w:r>
        <w:br w:type="page"/>
      </w:r>
    </w:p>
    <w:p>
      <w:pPr>
        <w:pStyle w:val="78"/>
        <w:spacing w:before="78" w:after="156"/>
      </w:pPr>
      <w:bookmarkStart w:id="109" w:name="_Toc5007"/>
      <w:r>
        <w:br w:type="textWrapping"/>
      </w:r>
      <w:r>
        <w:rPr>
          <w:rFonts w:hint="eastAsia"/>
        </w:rPr>
        <w:t>（</w:t>
      </w:r>
      <w:r>
        <w:rPr>
          <w:rFonts w:hint="eastAsia"/>
          <w:lang w:val="en-US" w:eastAsia="zh-CN"/>
        </w:rPr>
        <w:t>资料</w:t>
      </w:r>
      <w:r>
        <w:rPr>
          <w:rFonts w:hint="eastAsia"/>
        </w:rPr>
        <w:t>性）</w:t>
      </w:r>
      <w:r>
        <w:br w:type="textWrapping"/>
      </w:r>
      <w:r>
        <w:rPr>
          <w:rFonts w:hint="eastAsia"/>
        </w:rPr>
        <w:t>预拌混凝土单位产品碳排放量计算</w:t>
      </w:r>
      <w:bookmarkEnd w:id="109"/>
      <w:r>
        <w:rPr>
          <w:rFonts w:hint="eastAsia"/>
          <w:lang w:val="en-US" w:eastAsia="zh-CN"/>
        </w:rPr>
        <w:t>示例</w:t>
      </w:r>
    </w:p>
    <w:p>
      <w:pPr>
        <w:pStyle w:val="213"/>
        <w:rPr>
          <w:rStyle w:val="242"/>
        </w:rPr>
      </w:pPr>
      <w:r>
        <w:rPr>
          <w:rFonts w:hint="eastAsia" w:hAnsi="宋体" w:cs="宋体"/>
          <w:bCs/>
          <w:kern w:val="0"/>
          <w:szCs w:val="21"/>
        </w:rPr>
        <w:t>以</w:t>
      </w:r>
      <w:r>
        <w:rPr>
          <w:rStyle w:val="242"/>
          <w:rFonts w:hint="eastAsia"/>
        </w:rPr>
        <w:t>某厂家生产的C30预拌混凝土产品品作为碳排放量计算示例。</w:t>
      </w:r>
    </w:p>
    <w:p>
      <w:pPr>
        <w:pStyle w:val="213"/>
        <w:rPr>
          <w:rStyle w:val="242"/>
        </w:rPr>
      </w:pPr>
      <w:r>
        <w:rPr>
          <w:rStyle w:val="242"/>
          <w:rFonts w:hint="eastAsia"/>
        </w:rPr>
        <w:t>原材料开采、生产过程的碳排放量计算</w:t>
      </w:r>
      <w:r>
        <w:rPr>
          <w:rStyle w:val="242"/>
          <w:rFonts w:hint="eastAsia"/>
          <w:lang w:val="en-US" w:eastAsia="zh-CN"/>
        </w:rPr>
        <w:t>如下：</w:t>
      </w:r>
    </w:p>
    <w:p>
      <w:pPr>
        <w:pStyle w:val="159"/>
        <w:ind w:firstLine="420" w:firstLineChars="200"/>
        <w:rPr>
          <w:rFonts w:cs="宋体"/>
          <w:bCs/>
          <w:szCs w:val="21"/>
        </w:rPr>
      </w:pPr>
      <w:r>
        <w:rPr>
          <w:rFonts w:hint="eastAsia" w:cs="宋体"/>
          <w:bCs/>
          <w:szCs w:val="21"/>
        </w:rPr>
        <w:t>查询该案例预拌混凝土的配合比设计方案，得到单位产品中各类原材料消耗量</w:t>
      </w:r>
      <m:oMath>
        <m:sSub>
          <m:sSubPr>
            <m:ctrlPr>
              <w:rPr>
                <w:rFonts w:hint="eastAsia" w:ascii="Cambria Math" w:hAnsi="Cambria Math" w:cs="宋体"/>
                <w:i/>
                <w:szCs w:val="21"/>
              </w:rPr>
            </m:ctrlPr>
          </m:sSubPr>
          <m:e>
            <m:r>
              <m:rPr/>
              <w:rPr>
                <w:rFonts w:hint="eastAsia" w:ascii="Cambria Math" w:hAnsi="Cambria Math" w:cs="宋体"/>
                <w:szCs w:val="21"/>
              </w:rPr>
              <m:t>M</m:t>
            </m:r>
            <m:ctrlPr>
              <w:rPr>
                <w:rFonts w:hint="eastAsia" w:ascii="Cambria Math" w:hAnsi="Cambria Math" w:cs="宋体"/>
                <w:i/>
                <w:szCs w:val="21"/>
              </w:rPr>
            </m:ctrlPr>
          </m:e>
          <m:sub>
            <m:r>
              <m:rPr/>
              <w:rPr>
                <w:rFonts w:hint="eastAsia" w:ascii="Cambria Math" w:hAnsi="Cambria Math" w:cs="宋体"/>
                <w:szCs w:val="21"/>
              </w:rPr>
              <m:t>i</m:t>
            </m:r>
            <m:ctrlPr>
              <w:rPr>
                <w:rFonts w:hint="eastAsia" w:ascii="Cambria Math" w:hAnsi="Cambria Math" w:cs="宋体"/>
                <w:i/>
                <w:szCs w:val="21"/>
              </w:rPr>
            </m:ctrlPr>
          </m:sub>
        </m:sSub>
      </m:oMath>
      <w:r>
        <w:rPr>
          <w:rFonts w:hint="eastAsia" w:cs="宋体"/>
          <w:bCs/>
          <w:szCs w:val="21"/>
        </w:rPr>
        <w:t>，并根据现场实际材料情况获得原材料中固体废弃物的掺加比例</w:t>
      </w:r>
      <m:oMath>
        <m:sSub>
          <m:sSubPr>
            <m:ctrlPr>
              <w:rPr>
                <w:rFonts w:hint="eastAsia" w:ascii="Cambria Math" w:hAnsi="Cambria Math" w:cs="宋体"/>
                <w:i/>
                <w:szCs w:val="21"/>
              </w:rPr>
            </m:ctrlPr>
          </m:sSubPr>
          <m:e>
            <m:r>
              <m:rPr/>
              <w:rPr>
                <w:rFonts w:hint="eastAsia" w:ascii="Cambria Math" w:hAnsi="Cambria Math" w:cs="宋体"/>
                <w:szCs w:val="21"/>
              </w:rPr>
              <m:t>α</m:t>
            </m:r>
            <m:ctrlPr>
              <w:rPr>
                <w:rFonts w:hint="eastAsia" w:ascii="Cambria Math" w:hAnsi="Cambria Math" w:cs="宋体"/>
                <w:i/>
                <w:szCs w:val="21"/>
              </w:rPr>
            </m:ctrlPr>
          </m:e>
          <m:sub>
            <m:r>
              <m:rPr/>
              <w:rPr>
                <w:rFonts w:hint="eastAsia" w:ascii="Cambria Math" w:hAnsi="Cambria Math" w:cs="宋体"/>
                <w:szCs w:val="21"/>
              </w:rPr>
              <m:t>i</m:t>
            </m:r>
            <m:ctrlPr>
              <w:rPr>
                <w:rFonts w:hint="eastAsia" w:ascii="Cambria Math" w:hAnsi="Cambria Math" w:cs="宋体"/>
                <w:i/>
                <w:szCs w:val="21"/>
              </w:rPr>
            </m:ctrlPr>
          </m:sub>
        </m:sSub>
      </m:oMath>
      <w:r>
        <w:rPr>
          <w:rFonts w:hint="eastAsia" w:cs="宋体"/>
          <w:bCs/>
          <w:szCs w:val="21"/>
        </w:rPr>
        <w:t>。以碎石和水为例，每生产1立方米C30预拌混凝土产品时需消耗1030 kg碎石和168 kg水，其中碎石中掺加了50 kg煤矸石，比例为4.85%，水中掺加了16.8 kg回收利用的水，比例为10%。查表</w:t>
      </w:r>
      <w:r>
        <w:rPr>
          <w:rFonts w:cs="宋体"/>
          <w:bCs/>
          <w:szCs w:val="21"/>
        </w:rPr>
        <w:t>3</w:t>
      </w:r>
      <w:r>
        <w:rPr>
          <w:rFonts w:hint="eastAsia" w:cs="宋体"/>
          <w:bCs/>
          <w:szCs w:val="21"/>
        </w:rPr>
        <w:t>得到各建材的碳排放因子</w:t>
      </w:r>
      <m:oMath>
        <m:sSub>
          <m:sSubPr>
            <m:ctrlPr>
              <w:rPr>
                <w:rFonts w:hint="eastAsia" w:ascii="Cambria Math" w:hAnsi="Cambria Math" w:cs="宋体"/>
                <w:i/>
                <w:szCs w:val="21"/>
              </w:rPr>
            </m:ctrlPr>
          </m:sSubPr>
          <m:e>
            <m:r>
              <m:rPr/>
              <w:rPr>
                <w:rFonts w:hint="eastAsia" w:ascii="Cambria Math" w:hAnsi="Cambria Math" w:cs="宋体"/>
                <w:szCs w:val="21"/>
              </w:rPr>
              <m:t>F</m:t>
            </m:r>
            <m:ctrlPr>
              <w:rPr>
                <w:rFonts w:hint="eastAsia" w:ascii="Cambria Math" w:hAnsi="Cambria Math" w:cs="宋体"/>
                <w:i/>
                <w:szCs w:val="21"/>
              </w:rPr>
            </m:ctrlPr>
          </m:e>
          <m:sub>
            <m:r>
              <m:rPr/>
              <w:rPr>
                <w:rFonts w:hint="eastAsia" w:ascii="Cambria Math" w:hAnsi="Cambria Math" w:cs="宋体"/>
                <w:szCs w:val="21"/>
              </w:rPr>
              <m:t>i</m:t>
            </m:r>
            <m:ctrlPr>
              <w:rPr>
                <w:rFonts w:hint="eastAsia" w:ascii="Cambria Math" w:hAnsi="Cambria Math" w:cs="宋体"/>
                <w:i/>
                <w:szCs w:val="21"/>
              </w:rPr>
            </m:ctrlPr>
          </m:sub>
        </m:sSub>
      </m:oMath>
      <w:r>
        <w:rPr>
          <w:rFonts w:hint="eastAsia" w:cs="宋体"/>
          <w:bCs/>
          <w:szCs w:val="21"/>
        </w:rPr>
        <w:t>，根据公式（</w:t>
      </w:r>
      <w:r>
        <w:rPr>
          <w:rFonts w:cs="宋体"/>
          <w:bCs/>
          <w:szCs w:val="21"/>
        </w:rPr>
        <w:t>2</w:t>
      </w:r>
      <w:r>
        <w:rPr>
          <w:rFonts w:hint="eastAsia" w:cs="宋体"/>
          <w:bCs/>
          <w:szCs w:val="21"/>
        </w:rPr>
        <w:t>）计算单位产品中原材料生产过程的碳排放</w:t>
      </w:r>
      <m:oMath>
        <m:sSub>
          <m:sSubPr>
            <m:ctrlPr>
              <w:rPr>
                <w:rFonts w:hint="eastAsia" w:ascii="Cambria Math" w:hAnsi="Cambria Math" w:cs="宋体"/>
                <w:i/>
                <w:szCs w:val="21"/>
              </w:rPr>
            </m:ctrlPr>
          </m:sSubPr>
          <m:e>
            <m:r>
              <m:rPr/>
              <w:rPr>
                <w:rFonts w:hint="eastAsia" w:ascii="Cambria Math" w:hAnsi="Cambria Math" w:cs="宋体"/>
                <w:szCs w:val="21"/>
              </w:rPr>
              <m:t>C</m:t>
            </m:r>
            <m:ctrlPr>
              <w:rPr>
                <w:rFonts w:hint="eastAsia" w:ascii="Cambria Math" w:hAnsi="Cambria Math" w:cs="宋体"/>
                <w:i/>
                <w:szCs w:val="21"/>
              </w:rPr>
            </m:ctrlPr>
          </m:e>
          <m:sub>
            <m:r>
              <m:rPr/>
              <w:rPr>
                <w:rFonts w:hint="eastAsia" w:ascii="Cambria Math" w:hAnsi="Cambria Math" w:cs="宋体"/>
                <w:szCs w:val="21"/>
              </w:rPr>
              <m:t>1</m:t>
            </m:r>
            <m:ctrlPr>
              <w:rPr>
                <w:rFonts w:hint="eastAsia" w:ascii="Cambria Math" w:hAnsi="Cambria Math" w:cs="宋体"/>
                <w:i/>
                <w:szCs w:val="21"/>
              </w:rPr>
            </m:ctrlPr>
          </m:sub>
        </m:sSub>
      </m:oMath>
      <w:r>
        <w:rPr>
          <w:rFonts w:hint="eastAsia" w:cs="宋体"/>
          <w:bCs/>
          <w:szCs w:val="21"/>
        </w:rPr>
        <w:t>。各原材料的计算结果如表6所示，累加后可得到该预拌混凝土单位产品中的原材料开采生产过程碳排放量</w:t>
      </w:r>
      <m:oMath>
        <m:sSub>
          <m:sSubPr>
            <m:ctrlPr>
              <w:rPr>
                <w:rFonts w:hint="eastAsia" w:ascii="Cambria Math" w:hAnsi="Cambria Math" w:cs="宋体"/>
                <w:i/>
                <w:szCs w:val="21"/>
              </w:rPr>
            </m:ctrlPr>
          </m:sSubPr>
          <m:e>
            <m:r>
              <m:rPr/>
              <w:rPr>
                <w:rFonts w:hint="eastAsia" w:ascii="Cambria Math" w:hAnsi="Cambria Math" w:cs="宋体"/>
                <w:szCs w:val="21"/>
              </w:rPr>
              <m:t>C</m:t>
            </m:r>
            <m:ctrlPr>
              <w:rPr>
                <w:rFonts w:hint="eastAsia" w:ascii="Cambria Math" w:hAnsi="Cambria Math" w:cs="宋体"/>
                <w:i/>
                <w:szCs w:val="21"/>
              </w:rPr>
            </m:ctrlPr>
          </m:e>
          <m:sub>
            <m:r>
              <m:rPr/>
              <w:rPr>
                <w:rFonts w:hint="eastAsia" w:ascii="Cambria Math" w:hAnsi="Cambria Math" w:cs="宋体"/>
                <w:szCs w:val="21"/>
              </w:rPr>
              <m:t>1</m:t>
            </m:r>
            <m:ctrlPr>
              <w:rPr>
                <w:rFonts w:hint="eastAsia" w:ascii="Cambria Math" w:hAnsi="Cambria Math" w:cs="宋体"/>
                <w:i/>
                <w:szCs w:val="21"/>
              </w:rPr>
            </m:ctrlPr>
          </m:sub>
        </m:sSub>
      </m:oMath>
      <w:r>
        <w:rPr>
          <w:rFonts w:hint="eastAsia" w:cs="宋体"/>
          <w:bCs/>
          <w:szCs w:val="21"/>
        </w:rPr>
        <w:t>，为189.19 kgCO</w:t>
      </w:r>
      <w:r>
        <w:rPr>
          <w:rFonts w:hint="eastAsia" w:cs="宋体"/>
          <w:bCs/>
          <w:szCs w:val="21"/>
          <w:vertAlign w:val="subscript"/>
        </w:rPr>
        <w:t>2</w:t>
      </w:r>
      <w:r>
        <w:rPr>
          <w:rFonts w:hint="eastAsia" w:cs="宋体"/>
          <w:bCs/>
          <w:szCs w:val="21"/>
        </w:rPr>
        <w:t>e。</w:t>
      </w:r>
    </w:p>
    <w:p>
      <w:pPr>
        <w:numPr>
          <w:ilvl w:val="255"/>
          <w:numId w:val="0"/>
        </w:numPr>
        <w:tabs>
          <w:tab w:val="left" w:pos="20"/>
        </w:tabs>
        <w:adjustRightInd/>
        <w:spacing w:before="156" w:beforeLines="50" w:after="156" w:afterLines="50" w:line="240" w:lineRule="auto"/>
        <w:jc w:val="center"/>
        <w:rPr>
          <w:rFonts w:ascii="黑体" w:hAnsi="黑体" w:eastAsia="黑体" w:cs="黑体"/>
          <w:bCs/>
        </w:rPr>
      </w:pPr>
      <w:r>
        <w:rPr>
          <w:rFonts w:hint="eastAsia" w:ascii="黑体" w:hAnsi="黑体" w:eastAsia="黑体" w:cs="黑体"/>
          <w:bCs/>
        </w:rPr>
        <w:t>表6  案例预拌混凝土单位产品中原材料开采、生产过程的碳排放量计算</w:t>
      </w:r>
    </w:p>
    <w:tbl>
      <w:tblPr>
        <w:tblStyle w:val="27"/>
        <w:tblW w:w="93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0"/>
        <w:gridCol w:w="2006"/>
        <w:gridCol w:w="1596"/>
        <w:gridCol w:w="2184"/>
        <w:gridCol w:w="2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50" w:type="dxa"/>
            <w:tcBorders>
              <w:top w:val="single" w:color="auto" w:sz="8" w:space="0"/>
              <w:left w:val="single" w:color="auto" w:sz="8" w:space="0"/>
              <w:bottom w:val="single" w:color="auto" w:sz="8" w:space="0"/>
            </w:tcBorders>
            <w:shd w:val="clear" w:color="auto" w:fill="auto"/>
            <w:vAlign w:val="center"/>
          </w:tcPr>
          <w:p>
            <w:pPr>
              <w:numPr>
                <w:ilvl w:val="255"/>
                <w:numId w:val="0"/>
              </w:numPr>
              <w:autoSpaceDE w:val="0"/>
              <w:autoSpaceDN w:val="0"/>
              <w:snapToGrid w:val="0"/>
              <w:spacing w:line="240" w:lineRule="auto"/>
              <w:jc w:val="center"/>
              <w:rPr>
                <w:rFonts w:ascii="宋体" w:hAnsi="宋体" w:cs="宋体"/>
                <w:w w:val="105"/>
                <w:sz w:val="18"/>
                <w:szCs w:val="18"/>
                <w:lang w:eastAsia="en-US"/>
              </w:rPr>
            </w:pPr>
            <w:r>
              <w:rPr>
                <w:rFonts w:hint="eastAsia" w:ascii="宋体" w:hAnsi="宋体" w:cs="宋体"/>
                <w:w w:val="105"/>
                <w:sz w:val="18"/>
                <w:szCs w:val="18"/>
                <w:lang w:eastAsia="en-US"/>
              </w:rPr>
              <w:t>原材料名称</w:t>
            </w:r>
          </w:p>
        </w:tc>
        <w:tc>
          <w:tcPr>
            <w:tcW w:w="2006" w:type="dxa"/>
            <w:tcBorders>
              <w:top w:val="single" w:color="auto" w:sz="8" w:space="0"/>
              <w:bottom w:val="single" w:color="auto" w:sz="8" w:space="0"/>
            </w:tcBorders>
            <w:shd w:val="clear" w:color="auto" w:fill="auto"/>
            <w:vAlign w:val="center"/>
          </w:tcPr>
          <w:p>
            <w:pPr>
              <w:numPr>
                <w:ilvl w:val="255"/>
                <w:numId w:val="0"/>
              </w:numPr>
              <w:autoSpaceDE w:val="0"/>
              <w:autoSpaceDN w:val="0"/>
              <w:snapToGrid w:val="0"/>
              <w:spacing w:line="240" w:lineRule="auto"/>
              <w:jc w:val="center"/>
              <w:rPr>
                <w:rFonts w:ascii="宋体" w:hAnsi="宋体" w:cs="宋体"/>
                <w:w w:val="105"/>
                <w:sz w:val="18"/>
                <w:szCs w:val="18"/>
                <w:lang w:eastAsia="en-US"/>
              </w:rPr>
            </w:pPr>
            <w:r>
              <w:rPr>
                <w:rFonts w:hint="eastAsia" w:ascii="宋体" w:hAnsi="宋体" w:cs="宋体"/>
                <w:w w:val="105"/>
                <w:sz w:val="18"/>
                <w:szCs w:val="18"/>
                <w:lang w:eastAsia="en-US"/>
              </w:rPr>
              <w:t>原材料消耗量</w:t>
            </w:r>
            <m:oMath>
              <m:sSub>
                <m:sSubPr>
                  <m:ctrlPr>
                    <w:rPr>
                      <w:rFonts w:hint="eastAsia" w:ascii="Cambria Math" w:hAnsi="Cambria Math" w:cs="宋体"/>
                      <w:w w:val="105"/>
                      <w:sz w:val="18"/>
                      <w:szCs w:val="18"/>
                      <w:lang w:eastAsia="en-US"/>
                    </w:rPr>
                  </m:ctrlPr>
                </m:sSubPr>
                <m:e>
                  <m:r>
                    <m:rPr/>
                    <w:rPr>
                      <w:rFonts w:hint="eastAsia" w:ascii="Cambria Math" w:hAnsi="Cambria Math" w:cs="宋体"/>
                      <w:w w:val="105"/>
                      <w:sz w:val="18"/>
                      <w:szCs w:val="18"/>
                      <w:lang w:eastAsia="en-US"/>
                    </w:rPr>
                    <m:t>M</m:t>
                  </m:r>
                  <m:ctrlPr>
                    <w:rPr>
                      <w:rFonts w:hint="eastAsia" w:ascii="Cambria Math" w:hAnsi="Cambria Math" w:cs="宋体"/>
                      <w:w w:val="105"/>
                      <w:sz w:val="18"/>
                      <w:szCs w:val="18"/>
                      <w:lang w:eastAsia="en-US"/>
                    </w:rPr>
                  </m:ctrlPr>
                </m:e>
                <m:sub>
                  <m:r>
                    <m:rPr/>
                    <w:rPr>
                      <w:rFonts w:hint="eastAsia" w:ascii="Cambria Math" w:hAnsi="Cambria Math" w:cs="宋体"/>
                      <w:w w:val="105"/>
                      <w:sz w:val="18"/>
                      <w:szCs w:val="18"/>
                      <w:lang w:eastAsia="en-US"/>
                    </w:rPr>
                    <m:t>i</m:t>
                  </m:r>
                  <m:ctrlPr>
                    <w:rPr>
                      <w:rFonts w:hint="eastAsia" w:ascii="Cambria Math" w:hAnsi="Cambria Math" w:cs="宋体"/>
                      <w:w w:val="105"/>
                      <w:sz w:val="18"/>
                      <w:szCs w:val="18"/>
                      <w:lang w:eastAsia="en-US"/>
                    </w:rPr>
                  </m:ctrlPr>
                </m:sub>
              </m:sSub>
            </m:oMath>
            <w:r>
              <w:rPr>
                <w:rFonts w:hint="eastAsia" w:ascii="宋体" w:hAnsi="宋体" w:cs="宋体"/>
                <w:w w:val="105"/>
                <w:sz w:val="18"/>
                <w:szCs w:val="18"/>
                <w:lang w:eastAsia="en-US"/>
              </w:rPr>
              <w:t>（kg）</w:t>
            </w:r>
          </w:p>
        </w:tc>
        <w:tc>
          <w:tcPr>
            <w:tcW w:w="1596" w:type="dxa"/>
            <w:tcBorders>
              <w:top w:val="single" w:color="auto" w:sz="8" w:space="0"/>
              <w:bottom w:val="single" w:color="auto" w:sz="8" w:space="0"/>
            </w:tcBorders>
            <w:shd w:val="clear" w:color="auto" w:fill="auto"/>
            <w:vAlign w:val="center"/>
          </w:tcPr>
          <w:p>
            <w:pPr>
              <w:numPr>
                <w:ilvl w:val="255"/>
                <w:numId w:val="0"/>
              </w:numPr>
              <w:autoSpaceDE w:val="0"/>
              <w:autoSpaceDN w:val="0"/>
              <w:snapToGrid w:val="0"/>
              <w:spacing w:line="240" w:lineRule="auto"/>
              <w:jc w:val="center"/>
              <w:rPr>
                <w:rFonts w:ascii="宋体" w:hAnsi="宋体" w:cs="宋体"/>
                <w:w w:val="105"/>
                <w:sz w:val="18"/>
                <w:szCs w:val="18"/>
                <w:lang w:eastAsia="en-US"/>
              </w:rPr>
            </w:pPr>
            <w:r>
              <w:rPr>
                <w:rFonts w:hint="eastAsia" w:ascii="宋体" w:hAnsi="宋体" w:cs="宋体"/>
                <w:w w:val="105"/>
                <w:sz w:val="18"/>
                <w:szCs w:val="18"/>
                <w:lang w:eastAsia="en-US"/>
              </w:rPr>
              <w:t>碳排放因子</w:t>
            </w:r>
            <m:oMath>
              <m:sSub>
                <m:sSubPr>
                  <m:ctrlPr>
                    <w:rPr>
                      <w:rFonts w:hint="eastAsia" w:ascii="Cambria Math" w:hAnsi="Cambria Math" w:cs="宋体"/>
                      <w:w w:val="105"/>
                      <w:sz w:val="18"/>
                      <w:szCs w:val="18"/>
                      <w:lang w:eastAsia="en-US"/>
                    </w:rPr>
                  </m:ctrlPr>
                </m:sSubPr>
                <m:e>
                  <m:r>
                    <m:rPr/>
                    <w:rPr>
                      <w:rFonts w:hint="eastAsia" w:ascii="Cambria Math" w:hAnsi="Cambria Math" w:cs="宋体"/>
                      <w:w w:val="105"/>
                      <w:sz w:val="18"/>
                      <w:szCs w:val="18"/>
                      <w:lang w:eastAsia="en-US"/>
                    </w:rPr>
                    <m:t>F</m:t>
                  </m:r>
                  <m:ctrlPr>
                    <w:rPr>
                      <w:rFonts w:hint="eastAsia" w:ascii="Cambria Math" w:hAnsi="Cambria Math" w:cs="宋体"/>
                      <w:w w:val="105"/>
                      <w:sz w:val="18"/>
                      <w:szCs w:val="18"/>
                      <w:lang w:eastAsia="en-US"/>
                    </w:rPr>
                  </m:ctrlPr>
                </m:e>
                <m:sub>
                  <m:r>
                    <m:rPr/>
                    <w:rPr>
                      <w:rFonts w:hint="eastAsia" w:ascii="Cambria Math" w:hAnsi="Cambria Math" w:cs="宋体"/>
                      <w:w w:val="105"/>
                      <w:sz w:val="18"/>
                      <w:szCs w:val="18"/>
                      <w:lang w:eastAsia="en-US"/>
                    </w:rPr>
                    <m:t>i</m:t>
                  </m:r>
                  <m:ctrlPr>
                    <w:rPr>
                      <w:rFonts w:hint="eastAsia" w:ascii="Cambria Math" w:hAnsi="Cambria Math" w:cs="宋体"/>
                      <w:w w:val="105"/>
                      <w:sz w:val="18"/>
                      <w:szCs w:val="18"/>
                      <w:lang w:eastAsia="en-US"/>
                    </w:rPr>
                  </m:ctrlPr>
                </m:sub>
              </m:sSub>
            </m:oMath>
          </w:p>
          <w:p>
            <w:pPr>
              <w:numPr>
                <w:ilvl w:val="255"/>
                <w:numId w:val="0"/>
              </w:numPr>
              <w:autoSpaceDE w:val="0"/>
              <w:autoSpaceDN w:val="0"/>
              <w:snapToGrid w:val="0"/>
              <w:spacing w:line="240" w:lineRule="auto"/>
              <w:jc w:val="center"/>
              <w:rPr>
                <w:rFonts w:ascii="宋体" w:hAnsi="宋体" w:cs="宋体"/>
                <w:w w:val="105"/>
                <w:sz w:val="18"/>
                <w:szCs w:val="18"/>
                <w:lang w:eastAsia="en-US"/>
              </w:rPr>
            </w:pPr>
            <w:r>
              <w:rPr>
                <w:rFonts w:hint="eastAsia" w:ascii="宋体" w:hAnsi="宋体" w:cs="宋体"/>
                <w:w w:val="105"/>
                <w:sz w:val="18"/>
                <w:szCs w:val="18"/>
                <w:lang w:eastAsia="en-US"/>
              </w:rPr>
              <w:t>（kgCO</w:t>
            </w:r>
            <w:r>
              <w:rPr>
                <w:rFonts w:hint="eastAsia" w:ascii="宋体" w:hAnsi="宋体" w:cs="宋体"/>
                <w:w w:val="105"/>
                <w:sz w:val="18"/>
                <w:szCs w:val="18"/>
                <w:vertAlign w:val="subscript"/>
                <w:lang w:eastAsia="en-US"/>
              </w:rPr>
              <w:t>2</w:t>
            </w:r>
            <w:r>
              <w:rPr>
                <w:rFonts w:hint="eastAsia" w:ascii="宋体" w:hAnsi="宋体" w:cs="宋体"/>
                <w:w w:val="105"/>
                <w:sz w:val="18"/>
                <w:szCs w:val="18"/>
                <w:lang w:eastAsia="en-US"/>
              </w:rPr>
              <w:t>e/t）</w:t>
            </w:r>
          </w:p>
        </w:tc>
        <w:tc>
          <w:tcPr>
            <w:tcW w:w="2184" w:type="dxa"/>
            <w:tcBorders>
              <w:top w:val="single" w:color="auto" w:sz="8" w:space="0"/>
              <w:bottom w:val="single" w:color="auto" w:sz="8" w:space="0"/>
            </w:tcBorders>
            <w:shd w:val="clear" w:color="auto" w:fill="auto"/>
            <w:vAlign w:val="center"/>
          </w:tcPr>
          <w:p>
            <w:pPr>
              <w:numPr>
                <w:ilvl w:val="255"/>
                <w:numId w:val="0"/>
              </w:numPr>
              <w:autoSpaceDE w:val="0"/>
              <w:autoSpaceDN w:val="0"/>
              <w:snapToGrid w:val="0"/>
              <w:spacing w:line="240" w:lineRule="auto"/>
              <w:jc w:val="center"/>
              <w:rPr>
                <w:rFonts w:ascii="宋体" w:hAnsi="宋体" w:cs="宋体"/>
                <w:w w:val="105"/>
                <w:sz w:val="18"/>
                <w:szCs w:val="18"/>
              </w:rPr>
            </w:pPr>
            <w:r>
              <w:rPr>
                <w:rFonts w:hint="eastAsia" w:ascii="宋体" w:hAnsi="宋体" w:cs="宋体"/>
                <w:w w:val="105"/>
                <w:sz w:val="18"/>
                <w:szCs w:val="18"/>
              </w:rPr>
              <w:t>原材料中固体废弃物的掺加比例（%）</w:t>
            </w:r>
          </w:p>
        </w:tc>
        <w:tc>
          <w:tcPr>
            <w:tcW w:w="2013" w:type="dxa"/>
            <w:tcBorders>
              <w:top w:val="single" w:color="auto" w:sz="8" w:space="0"/>
              <w:bottom w:val="single" w:color="auto" w:sz="8" w:space="0"/>
              <w:right w:val="single" w:color="auto" w:sz="8" w:space="0"/>
            </w:tcBorders>
            <w:shd w:val="clear" w:color="auto" w:fill="auto"/>
            <w:vAlign w:val="center"/>
          </w:tcPr>
          <w:p>
            <w:pPr>
              <w:numPr>
                <w:ilvl w:val="255"/>
                <w:numId w:val="0"/>
              </w:numPr>
              <w:autoSpaceDE w:val="0"/>
              <w:autoSpaceDN w:val="0"/>
              <w:snapToGrid w:val="0"/>
              <w:spacing w:line="240" w:lineRule="auto"/>
              <w:jc w:val="center"/>
              <w:rPr>
                <w:rFonts w:ascii="宋体" w:hAnsi="宋体" w:cs="宋体"/>
                <w:w w:val="105"/>
                <w:sz w:val="18"/>
                <w:szCs w:val="18"/>
              </w:rPr>
            </w:pPr>
            <w:r>
              <w:rPr>
                <w:rFonts w:hint="eastAsia" w:ascii="宋体" w:hAnsi="宋体" w:cs="宋体"/>
                <w:w w:val="105"/>
                <w:sz w:val="18"/>
                <w:szCs w:val="18"/>
              </w:rPr>
              <w:t>碳排放贡献值</w:t>
            </w:r>
          </w:p>
          <w:p>
            <w:pPr>
              <w:numPr>
                <w:ilvl w:val="255"/>
                <w:numId w:val="0"/>
              </w:numPr>
              <w:tabs>
                <w:tab w:val="left" w:pos="220"/>
              </w:tabs>
              <w:autoSpaceDE w:val="0"/>
              <w:autoSpaceDN w:val="0"/>
              <w:snapToGrid w:val="0"/>
              <w:spacing w:line="240" w:lineRule="auto"/>
              <w:jc w:val="center"/>
              <w:rPr>
                <w:rFonts w:ascii="宋体" w:hAnsi="宋体" w:cs="宋体"/>
                <w:w w:val="105"/>
                <w:sz w:val="18"/>
                <w:szCs w:val="18"/>
              </w:rPr>
            </w:pPr>
            <w:r>
              <w:rPr>
                <w:rFonts w:hint="eastAsia" w:ascii="宋体" w:hAnsi="宋体" w:cs="宋体"/>
                <w:w w:val="105"/>
                <w:sz w:val="18"/>
                <w:szCs w:val="18"/>
              </w:rPr>
              <w:t>（kgCO</w:t>
            </w:r>
            <w:r>
              <w:rPr>
                <w:rFonts w:hint="eastAsia" w:ascii="宋体" w:hAnsi="宋体" w:cs="宋体"/>
                <w:w w:val="105"/>
                <w:sz w:val="18"/>
                <w:szCs w:val="18"/>
                <w:vertAlign w:val="subscript"/>
              </w:rPr>
              <w:t>2</w:t>
            </w:r>
            <w:r>
              <w:rPr>
                <w:rFonts w:hint="eastAsia" w:ascii="宋体" w:hAnsi="宋体" w:cs="宋体"/>
                <w:w w:val="105"/>
                <w:sz w:val="18"/>
                <w:szCs w:val="18"/>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50" w:type="dxa"/>
            <w:tcBorders>
              <w:top w:val="single" w:color="auto" w:sz="8" w:space="0"/>
              <w:left w:val="single" w:color="auto" w:sz="8" w:space="0"/>
            </w:tcBorders>
            <w:shd w:val="clear" w:color="auto" w:fill="auto"/>
            <w:vAlign w:val="center"/>
          </w:tcPr>
          <w:p>
            <w:pPr>
              <w:numPr>
                <w:ilvl w:val="255"/>
                <w:numId w:val="0"/>
              </w:numPr>
              <w:autoSpaceDE w:val="0"/>
              <w:autoSpaceDN w:val="0"/>
              <w:snapToGrid w:val="0"/>
              <w:spacing w:line="240" w:lineRule="auto"/>
              <w:jc w:val="center"/>
              <w:rPr>
                <w:rFonts w:ascii="宋体" w:hAnsi="宋体" w:cs="宋体"/>
                <w:w w:val="105"/>
                <w:sz w:val="18"/>
                <w:szCs w:val="18"/>
                <w:lang w:eastAsia="en-US"/>
              </w:rPr>
            </w:pPr>
            <w:r>
              <w:rPr>
                <w:rFonts w:hint="eastAsia" w:ascii="宋体" w:hAnsi="宋体" w:cs="宋体"/>
                <w:w w:val="105"/>
                <w:sz w:val="18"/>
                <w:szCs w:val="18"/>
                <w:lang w:eastAsia="en-US"/>
              </w:rPr>
              <w:t>水泥P</w:t>
            </w:r>
            <w:r>
              <w:rPr>
                <w:rFonts w:hint="eastAsia" w:ascii="宋体" w:hAnsi="宋体" w:cs="宋体"/>
                <w:bCs/>
                <w:sz w:val="18"/>
                <w:szCs w:val="18"/>
                <w:lang w:bidi="ar"/>
              </w:rPr>
              <w:t>·O</w:t>
            </w:r>
            <w:r>
              <w:rPr>
                <w:rFonts w:hint="eastAsia" w:ascii="宋体" w:hAnsi="宋体" w:cs="宋体"/>
                <w:w w:val="105"/>
                <w:sz w:val="18"/>
                <w:szCs w:val="18"/>
                <w:lang w:eastAsia="en-US"/>
              </w:rPr>
              <w:t xml:space="preserve"> 42.5</w:t>
            </w:r>
          </w:p>
        </w:tc>
        <w:tc>
          <w:tcPr>
            <w:tcW w:w="2006" w:type="dxa"/>
            <w:tcBorders>
              <w:top w:val="single" w:color="auto" w:sz="8" w:space="0"/>
            </w:tcBorders>
            <w:shd w:val="clear" w:color="auto" w:fill="auto"/>
            <w:vAlign w:val="center"/>
          </w:tcPr>
          <w:p>
            <w:pPr>
              <w:numPr>
                <w:ilvl w:val="255"/>
                <w:numId w:val="0"/>
              </w:numPr>
              <w:autoSpaceDE w:val="0"/>
              <w:autoSpaceDN w:val="0"/>
              <w:snapToGrid w:val="0"/>
              <w:spacing w:line="240" w:lineRule="auto"/>
              <w:ind w:right="630" w:rightChars="300"/>
              <w:jc w:val="right"/>
              <w:rPr>
                <w:rFonts w:ascii="宋体" w:hAnsi="宋体" w:cs="宋体"/>
                <w:w w:val="105"/>
                <w:sz w:val="18"/>
                <w:szCs w:val="18"/>
                <w:lang w:eastAsia="en-US"/>
              </w:rPr>
            </w:pPr>
            <w:r>
              <w:rPr>
                <w:rFonts w:hint="eastAsia" w:ascii="宋体" w:hAnsi="宋体" w:cs="宋体"/>
                <w:w w:val="105"/>
                <w:sz w:val="18"/>
                <w:szCs w:val="18"/>
                <w:lang w:eastAsia="en-US"/>
              </w:rPr>
              <w:t>230.00</w:t>
            </w:r>
          </w:p>
        </w:tc>
        <w:tc>
          <w:tcPr>
            <w:tcW w:w="1596" w:type="dxa"/>
            <w:tcBorders>
              <w:top w:val="single" w:color="auto" w:sz="8" w:space="0"/>
            </w:tcBorders>
            <w:shd w:val="clear" w:color="auto" w:fill="auto"/>
            <w:vAlign w:val="center"/>
          </w:tcPr>
          <w:p>
            <w:pPr>
              <w:numPr>
                <w:ilvl w:val="255"/>
                <w:numId w:val="0"/>
              </w:numPr>
              <w:autoSpaceDE w:val="0"/>
              <w:autoSpaceDN w:val="0"/>
              <w:snapToGrid w:val="0"/>
              <w:spacing w:line="240" w:lineRule="auto"/>
              <w:ind w:right="315" w:rightChars="150"/>
              <w:jc w:val="right"/>
              <w:rPr>
                <w:rFonts w:ascii="宋体" w:hAnsi="宋体" w:cs="宋体"/>
                <w:w w:val="105"/>
                <w:sz w:val="18"/>
                <w:szCs w:val="18"/>
                <w:lang w:eastAsia="en-US"/>
              </w:rPr>
            </w:pPr>
            <w:r>
              <w:rPr>
                <w:rFonts w:hint="eastAsia" w:ascii="宋体" w:hAnsi="宋体" w:cs="宋体"/>
                <w:w w:val="105"/>
                <w:sz w:val="18"/>
                <w:szCs w:val="18"/>
                <w:lang w:eastAsia="en-US"/>
              </w:rPr>
              <w:t>792.000</w:t>
            </w:r>
          </w:p>
        </w:tc>
        <w:tc>
          <w:tcPr>
            <w:tcW w:w="2184" w:type="dxa"/>
            <w:tcBorders>
              <w:top w:val="single" w:color="auto" w:sz="8" w:space="0"/>
            </w:tcBorders>
            <w:shd w:val="clear" w:color="auto" w:fill="auto"/>
            <w:vAlign w:val="center"/>
          </w:tcPr>
          <w:p>
            <w:pPr>
              <w:numPr>
                <w:ilvl w:val="255"/>
                <w:numId w:val="0"/>
              </w:numPr>
              <w:autoSpaceDE w:val="0"/>
              <w:autoSpaceDN w:val="0"/>
              <w:snapToGrid w:val="0"/>
              <w:spacing w:line="240" w:lineRule="auto"/>
              <w:ind w:right="840" w:rightChars="400"/>
              <w:jc w:val="right"/>
              <w:rPr>
                <w:rFonts w:ascii="宋体" w:hAnsi="宋体" w:cs="宋体"/>
                <w:w w:val="105"/>
                <w:sz w:val="18"/>
                <w:szCs w:val="18"/>
              </w:rPr>
            </w:pPr>
            <w:r>
              <w:rPr>
                <w:rFonts w:hint="eastAsia" w:ascii="宋体" w:hAnsi="宋体" w:cs="宋体"/>
                <w:w w:val="105"/>
                <w:sz w:val="18"/>
                <w:szCs w:val="18"/>
              </w:rPr>
              <w:t>—</w:t>
            </w:r>
          </w:p>
        </w:tc>
        <w:tc>
          <w:tcPr>
            <w:tcW w:w="2013" w:type="dxa"/>
            <w:tcBorders>
              <w:top w:val="single" w:color="auto" w:sz="8" w:space="0"/>
              <w:right w:val="single" w:color="auto" w:sz="8" w:space="0"/>
            </w:tcBorders>
            <w:shd w:val="clear" w:color="auto" w:fill="auto"/>
            <w:vAlign w:val="center"/>
          </w:tcPr>
          <w:p>
            <w:pPr>
              <w:numPr>
                <w:ilvl w:val="255"/>
                <w:numId w:val="0"/>
              </w:numPr>
              <w:autoSpaceDE w:val="0"/>
              <w:autoSpaceDN w:val="0"/>
              <w:snapToGrid w:val="0"/>
              <w:spacing w:line="240" w:lineRule="auto"/>
              <w:ind w:right="630" w:rightChars="300"/>
              <w:jc w:val="right"/>
              <w:rPr>
                <w:rFonts w:ascii="宋体" w:hAnsi="宋体" w:cs="宋体"/>
                <w:w w:val="105"/>
                <w:sz w:val="18"/>
                <w:szCs w:val="18"/>
                <w:lang w:eastAsia="en-US"/>
              </w:rPr>
            </w:pPr>
            <w:r>
              <w:rPr>
                <w:rFonts w:hint="eastAsia" w:ascii="宋体" w:hAnsi="宋体" w:cs="宋体"/>
                <w:w w:val="105"/>
                <w:sz w:val="18"/>
                <w:szCs w:val="18"/>
                <w:lang w:eastAsia="en-US"/>
              </w:rPr>
              <w:t>182.16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50" w:type="dxa"/>
            <w:tcBorders>
              <w:left w:val="single" w:color="auto" w:sz="8" w:space="0"/>
            </w:tcBorders>
            <w:shd w:val="clear" w:color="auto" w:fill="auto"/>
            <w:vAlign w:val="center"/>
          </w:tcPr>
          <w:p>
            <w:pPr>
              <w:numPr>
                <w:ilvl w:val="255"/>
                <w:numId w:val="0"/>
              </w:numPr>
              <w:autoSpaceDE w:val="0"/>
              <w:autoSpaceDN w:val="0"/>
              <w:snapToGrid w:val="0"/>
              <w:spacing w:line="240" w:lineRule="auto"/>
              <w:jc w:val="center"/>
              <w:rPr>
                <w:rFonts w:ascii="宋体" w:hAnsi="宋体" w:cs="宋体"/>
                <w:w w:val="105"/>
                <w:sz w:val="18"/>
                <w:szCs w:val="18"/>
                <w:lang w:eastAsia="en-US"/>
              </w:rPr>
            </w:pPr>
            <w:r>
              <w:rPr>
                <w:rFonts w:hint="eastAsia" w:ascii="宋体" w:hAnsi="宋体" w:cs="宋体"/>
                <w:w w:val="105"/>
                <w:sz w:val="18"/>
                <w:szCs w:val="18"/>
                <w:lang w:eastAsia="en-US"/>
              </w:rPr>
              <w:t>碎石</w:t>
            </w:r>
          </w:p>
        </w:tc>
        <w:tc>
          <w:tcPr>
            <w:tcW w:w="2006" w:type="dxa"/>
            <w:shd w:val="clear" w:color="auto" w:fill="auto"/>
            <w:vAlign w:val="center"/>
          </w:tcPr>
          <w:p>
            <w:pPr>
              <w:numPr>
                <w:ilvl w:val="255"/>
                <w:numId w:val="0"/>
              </w:numPr>
              <w:autoSpaceDE w:val="0"/>
              <w:autoSpaceDN w:val="0"/>
              <w:snapToGrid w:val="0"/>
              <w:spacing w:line="240" w:lineRule="auto"/>
              <w:ind w:right="630" w:rightChars="300"/>
              <w:jc w:val="right"/>
              <w:rPr>
                <w:rFonts w:ascii="宋体" w:hAnsi="宋体" w:cs="宋体"/>
                <w:w w:val="105"/>
                <w:sz w:val="18"/>
                <w:szCs w:val="18"/>
                <w:lang w:eastAsia="en-US"/>
              </w:rPr>
            </w:pPr>
            <w:r>
              <w:rPr>
                <w:rFonts w:hint="eastAsia" w:ascii="宋体" w:hAnsi="宋体" w:cs="宋体"/>
                <w:w w:val="105"/>
                <w:sz w:val="18"/>
                <w:szCs w:val="18"/>
                <w:lang w:eastAsia="en-US"/>
              </w:rPr>
              <w:t>1030.00</w:t>
            </w:r>
          </w:p>
        </w:tc>
        <w:tc>
          <w:tcPr>
            <w:tcW w:w="1596" w:type="dxa"/>
            <w:shd w:val="clear" w:color="auto" w:fill="auto"/>
            <w:vAlign w:val="center"/>
          </w:tcPr>
          <w:p>
            <w:pPr>
              <w:numPr>
                <w:ilvl w:val="255"/>
                <w:numId w:val="0"/>
              </w:numPr>
              <w:autoSpaceDE w:val="0"/>
              <w:autoSpaceDN w:val="0"/>
              <w:snapToGrid w:val="0"/>
              <w:spacing w:line="240" w:lineRule="auto"/>
              <w:ind w:right="315" w:rightChars="150"/>
              <w:jc w:val="right"/>
              <w:rPr>
                <w:rFonts w:ascii="宋体" w:hAnsi="宋体" w:cs="宋体"/>
                <w:w w:val="105"/>
                <w:sz w:val="18"/>
                <w:szCs w:val="18"/>
                <w:lang w:eastAsia="en-US"/>
              </w:rPr>
            </w:pPr>
            <w:r>
              <w:rPr>
                <w:rFonts w:hint="eastAsia" w:ascii="宋体" w:hAnsi="宋体" w:cs="宋体"/>
                <w:w w:val="105"/>
                <w:sz w:val="18"/>
                <w:szCs w:val="18"/>
                <w:lang w:eastAsia="en-US"/>
              </w:rPr>
              <w:t>2.180</w:t>
            </w:r>
          </w:p>
        </w:tc>
        <w:tc>
          <w:tcPr>
            <w:tcW w:w="2184" w:type="dxa"/>
            <w:shd w:val="clear" w:color="auto" w:fill="auto"/>
          </w:tcPr>
          <w:p>
            <w:pPr>
              <w:numPr>
                <w:ilvl w:val="255"/>
                <w:numId w:val="0"/>
              </w:numPr>
              <w:autoSpaceDE w:val="0"/>
              <w:autoSpaceDN w:val="0"/>
              <w:snapToGrid w:val="0"/>
              <w:spacing w:line="240" w:lineRule="auto"/>
              <w:ind w:right="840" w:rightChars="400"/>
              <w:jc w:val="right"/>
              <w:rPr>
                <w:rFonts w:ascii="宋体" w:hAnsi="宋体" w:cs="宋体"/>
                <w:w w:val="105"/>
                <w:sz w:val="18"/>
                <w:szCs w:val="18"/>
                <w:lang w:eastAsia="en-US"/>
              </w:rPr>
            </w:pPr>
            <w:r>
              <w:rPr>
                <w:rFonts w:hint="eastAsia" w:ascii="宋体" w:hAnsi="宋体" w:cs="宋体"/>
                <w:w w:val="105"/>
                <w:sz w:val="18"/>
                <w:szCs w:val="18"/>
                <w:lang w:eastAsia="en-US"/>
              </w:rPr>
              <w:t>4.85</w:t>
            </w:r>
          </w:p>
        </w:tc>
        <w:tc>
          <w:tcPr>
            <w:tcW w:w="2013" w:type="dxa"/>
            <w:tcBorders>
              <w:right w:val="single" w:color="auto" w:sz="8" w:space="0"/>
            </w:tcBorders>
            <w:shd w:val="clear" w:color="auto" w:fill="auto"/>
          </w:tcPr>
          <w:p>
            <w:pPr>
              <w:numPr>
                <w:ilvl w:val="255"/>
                <w:numId w:val="0"/>
              </w:numPr>
              <w:autoSpaceDE w:val="0"/>
              <w:autoSpaceDN w:val="0"/>
              <w:snapToGrid w:val="0"/>
              <w:spacing w:line="240" w:lineRule="auto"/>
              <w:ind w:right="630" w:rightChars="300"/>
              <w:jc w:val="right"/>
              <w:rPr>
                <w:rFonts w:ascii="宋体" w:hAnsi="宋体" w:cs="宋体"/>
                <w:w w:val="105"/>
                <w:sz w:val="18"/>
                <w:szCs w:val="18"/>
                <w:lang w:eastAsia="en-US"/>
              </w:rPr>
            </w:pPr>
            <w:r>
              <w:rPr>
                <w:rFonts w:hint="eastAsia" w:ascii="宋体" w:hAnsi="宋体" w:cs="宋体"/>
                <w:w w:val="105"/>
                <w:sz w:val="18"/>
                <w:szCs w:val="18"/>
                <w:lang w:eastAsia="en-US"/>
              </w:rPr>
              <w:t>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50" w:type="dxa"/>
            <w:tcBorders>
              <w:left w:val="single" w:color="auto" w:sz="8" w:space="0"/>
            </w:tcBorders>
            <w:shd w:val="clear" w:color="auto" w:fill="auto"/>
            <w:vAlign w:val="center"/>
          </w:tcPr>
          <w:p>
            <w:pPr>
              <w:numPr>
                <w:ilvl w:val="255"/>
                <w:numId w:val="0"/>
              </w:numPr>
              <w:autoSpaceDE w:val="0"/>
              <w:autoSpaceDN w:val="0"/>
              <w:snapToGrid w:val="0"/>
              <w:spacing w:line="240" w:lineRule="auto"/>
              <w:jc w:val="center"/>
              <w:rPr>
                <w:rFonts w:ascii="宋体" w:hAnsi="宋体" w:cs="宋体"/>
                <w:w w:val="105"/>
                <w:sz w:val="18"/>
                <w:szCs w:val="18"/>
                <w:lang w:eastAsia="en-US"/>
              </w:rPr>
            </w:pPr>
            <w:r>
              <w:rPr>
                <w:rFonts w:hint="eastAsia" w:ascii="宋体" w:hAnsi="宋体" w:cs="宋体"/>
                <w:w w:val="105"/>
                <w:sz w:val="18"/>
                <w:szCs w:val="18"/>
                <w:lang w:eastAsia="en-US"/>
              </w:rPr>
              <w:t>砂</w:t>
            </w:r>
          </w:p>
        </w:tc>
        <w:tc>
          <w:tcPr>
            <w:tcW w:w="2006" w:type="dxa"/>
            <w:shd w:val="clear" w:color="auto" w:fill="auto"/>
            <w:vAlign w:val="center"/>
          </w:tcPr>
          <w:p>
            <w:pPr>
              <w:numPr>
                <w:ilvl w:val="255"/>
                <w:numId w:val="0"/>
              </w:numPr>
              <w:autoSpaceDE w:val="0"/>
              <w:autoSpaceDN w:val="0"/>
              <w:snapToGrid w:val="0"/>
              <w:spacing w:line="240" w:lineRule="auto"/>
              <w:ind w:right="630" w:rightChars="300"/>
              <w:jc w:val="right"/>
              <w:rPr>
                <w:rFonts w:ascii="宋体" w:hAnsi="宋体" w:cs="宋体"/>
                <w:w w:val="105"/>
                <w:sz w:val="18"/>
                <w:szCs w:val="18"/>
                <w:lang w:eastAsia="en-US"/>
              </w:rPr>
            </w:pPr>
            <w:r>
              <w:rPr>
                <w:rFonts w:hint="eastAsia" w:ascii="宋体" w:hAnsi="宋体" w:cs="宋体"/>
                <w:w w:val="105"/>
                <w:sz w:val="18"/>
                <w:szCs w:val="18"/>
                <w:lang w:eastAsia="en-US"/>
              </w:rPr>
              <w:t>860.00</w:t>
            </w:r>
          </w:p>
        </w:tc>
        <w:tc>
          <w:tcPr>
            <w:tcW w:w="1596" w:type="dxa"/>
            <w:shd w:val="clear" w:color="auto" w:fill="auto"/>
            <w:vAlign w:val="center"/>
          </w:tcPr>
          <w:p>
            <w:pPr>
              <w:numPr>
                <w:ilvl w:val="255"/>
                <w:numId w:val="0"/>
              </w:numPr>
              <w:autoSpaceDE w:val="0"/>
              <w:autoSpaceDN w:val="0"/>
              <w:snapToGrid w:val="0"/>
              <w:spacing w:line="240" w:lineRule="auto"/>
              <w:ind w:right="315" w:rightChars="150"/>
              <w:jc w:val="right"/>
              <w:rPr>
                <w:rFonts w:ascii="宋体" w:hAnsi="宋体" w:cs="宋体"/>
                <w:w w:val="105"/>
                <w:sz w:val="18"/>
                <w:szCs w:val="18"/>
                <w:lang w:eastAsia="en-US"/>
              </w:rPr>
            </w:pPr>
            <w:r>
              <w:rPr>
                <w:rFonts w:hint="eastAsia" w:ascii="宋体" w:hAnsi="宋体" w:cs="宋体"/>
                <w:w w:val="105"/>
                <w:sz w:val="18"/>
                <w:szCs w:val="18"/>
                <w:lang w:eastAsia="en-US"/>
              </w:rPr>
              <w:t>2.510</w:t>
            </w:r>
          </w:p>
        </w:tc>
        <w:tc>
          <w:tcPr>
            <w:tcW w:w="2184" w:type="dxa"/>
            <w:shd w:val="clear" w:color="auto" w:fill="auto"/>
          </w:tcPr>
          <w:p>
            <w:pPr>
              <w:numPr>
                <w:ilvl w:val="255"/>
                <w:numId w:val="0"/>
              </w:numPr>
              <w:autoSpaceDE w:val="0"/>
              <w:autoSpaceDN w:val="0"/>
              <w:snapToGrid w:val="0"/>
              <w:spacing w:line="240" w:lineRule="auto"/>
              <w:ind w:right="840" w:rightChars="400"/>
              <w:jc w:val="right"/>
              <w:rPr>
                <w:rFonts w:ascii="宋体" w:hAnsi="宋体" w:cs="宋体"/>
                <w:w w:val="105"/>
                <w:sz w:val="18"/>
                <w:szCs w:val="18"/>
                <w:lang w:eastAsia="en-US"/>
              </w:rPr>
            </w:pPr>
            <w:r>
              <w:rPr>
                <w:rFonts w:hint="eastAsia" w:ascii="宋体" w:hAnsi="宋体" w:cs="宋体"/>
                <w:w w:val="105"/>
                <w:sz w:val="18"/>
                <w:szCs w:val="18"/>
                <w:lang w:eastAsia="en-US"/>
              </w:rPr>
              <w:t>5</w:t>
            </w:r>
            <w:r>
              <w:rPr>
                <w:rFonts w:ascii="宋体" w:hAnsi="宋体" w:cs="宋体"/>
                <w:w w:val="105"/>
                <w:sz w:val="18"/>
                <w:szCs w:val="18"/>
                <w:lang w:eastAsia="en-US"/>
              </w:rPr>
              <w:t>.00</w:t>
            </w:r>
          </w:p>
        </w:tc>
        <w:tc>
          <w:tcPr>
            <w:tcW w:w="2013" w:type="dxa"/>
            <w:tcBorders>
              <w:right w:val="single" w:color="auto" w:sz="8" w:space="0"/>
            </w:tcBorders>
            <w:shd w:val="clear" w:color="auto" w:fill="auto"/>
          </w:tcPr>
          <w:p>
            <w:pPr>
              <w:numPr>
                <w:ilvl w:val="255"/>
                <w:numId w:val="0"/>
              </w:numPr>
              <w:autoSpaceDE w:val="0"/>
              <w:autoSpaceDN w:val="0"/>
              <w:snapToGrid w:val="0"/>
              <w:spacing w:line="240" w:lineRule="auto"/>
              <w:ind w:right="630" w:rightChars="300"/>
              <w:jc w:val="right"/>
              <w:rPr>
                <w:rFonts w:ascii="宋体" w:hAnsi="宋体" w:cs="宋体"/>
                <w:w w:val="105"/>
                <w:sz w:val="18"/>
                <w:szCs w:val="18"/>
                <w:lang w:eastAsia="en-US"/>
              </w:rPr>
            </w:pPr>
            <w:r>
              <w:rPr>
                <w:rFonts w:hint="eastAsia" w:ascii="宋体" w:hAnsi="宋体" w:cs="宋体"/>
                <w:w w:val="105"/>
                <w:sz w:val="18"/>
                <w:szCs w:val="18"/>
                <w:lang w:eastAsia="en-US"/>
              </w:rPr>
              <w:t>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50" w:type="dxa"/>
            <w:tcBorders>
              <w:left w:val="single" w:color="auto" w:sz="8" w:space="0"/>
            </w:tcBorders>
            <w:shd w:val="clear" w:color="auto" w:fill="auto"/>
            <w:vAlign w:val="center"/>
          </w:tcPr>
          <w:p>
            <w:pPr>
              <w:numPr>
                <w:ilvl w:val="255"/>
                <w:numId w:val="0"/>
              </w:numPr>
              <w:autoSpaceDE w:val="0"/>
              <w:autoSpaceDN w:val="0"/>
              <w:snapToGrid w:val="0"/>
              <w:spacing w:line="240" w:lineRule="auto"/>
              <w:jc w:val="center"/>
              <w:rPr>
                <w:rFonts w:ascii="宋体" w:hAnsi="宋体" w:cs="宋体"/>
                <w:w w:val="105"/>
                <w:sz w:val="18"/>
                <w:szCs w:val="18"/>
                <w:lang w:eastAsia="en-US"/>
              </w:rPr>
            </w:pPr>
            <w:r>
              <w:rPr>
                <w:rFonts w:hint="eastAsia" w:ascii="宋体" w:hAnsi="宋体" w:cs="宋体"/>
                <w:w w:val="105"/>
                <w:sz w:val="18"/>
                <w:szCs w:val="18"/>
                <w:lang w:eastAsia="en-US"/>
              </w:rPr>
              <w:t>水</w:t>
            </w:r>
          </w:p>
        </w:tc>
        <w:tc>
          <w:tcPr>
            <w:tcW w:w="2006" w:type="dxa"/>
            <w:shd w:val="clear" w:color="auto" w:fill="auto"/>
            <w:vAlign w:val="center"/>
          </w:tcPr>
          <w:p>
            <w:pPr>
              <w:numPr>
                <w:ilvl w:val="255"/>
                <w:numId w:val="0"/>
              </w:numPr>
              <w:autoSpaceDE w:val="0"/>
              <w:autoSpaceDN w:val="0"/>
              <w:snapToGrid w:val="0"/>
              <w:spacing w:line="240" w:lineRule="auto"/>
              <w:ind w:right="630" w:rightChars="300"/>
              <w:jc w:val="right"/>
              <w:rPr>
                <w:rFonts w:ascii="宋体" w:hAnsi="宋体" w:cs="宋体"/>
                <w:w w:val="105"/>
                <w:sz w:val="18"/>
                <w:szCs w:val="18"/>
                <w:lang w:eastAsia="en-US"/>
              </w:rPr>
            </w:pPr>
            <w:r>
              <w:rPr>
                <w:rFonts w:hint="eastAsia" w:ascii="宋体" w:hAnsi="宋体" w:cs="宋体"/>
                <w:w w:val="105"/>
                <w:sz w:val="18"/>
                <w:szCs w:val="18"/>
                <w:lang w:eastAsia="en-US"/>
              </w:rPr>
              <w:t>168.00</w:t>
            </w:r>
          </w:p>
        </w:tc>
        <w:tc>
          <w:tcPr>
            <w:tcW w:w="1596" w:type="dxa"/>
            <w:shd w:val="clear" w:color="auto" w:fill="auto"/>
            <w:vAlign w:val="center"/>
          </w:tcPr>
          <w:p>
            <w:pPr>
              <w:numPr>
                <w:ilvl w:val="255"/>
                <w:numId w:val="0"/>
              </w:numPr>
              <w:autoSpaceDE w:val="0"/>
              <w:autoSpaceDN w:val="0"/>
              <w:snapToGrid w:val="0"/>
              <w:spacing w:line="240" w:lineRule="auto"/>
              <w:ind w:right="315" w:rightChars="150"/>
              <w:jc w:val="right"/>
              <w:rPr>
                <w:rFonts w:ascii="宋体" w:hAnsi="宋体" w:cs="宋体"/>
                <w:w w:val="105"/>
                <w:sz w:val="18"/>
                <w:szCs w:val="18"/>
                <w:lang w:eastAsia="en-US"/>
              </w:rPr>
            </w:pPr>
            <w:r>
              <w:rPr>
                <w:rFonts w:hint="eastAsia" w:ascii="宋体" w:hAnsi="宋体" w:cs="宋体"/>
                <w:w w:val="105"/>
                <w:sz w:val="18"/>
                <w:szCs w:val="18"/>
                <w:lang w:eastAsia="en-US"/>
              </w:rPr>
              <w:t>0.168</w:t>
            </w:r>
          </w:p>
        </w:tc>
        <w:tc>
          <w:tcPr>
            <w:tcW w:w="2184" w:type="dxa"/>
            <w:shd w:val="clear" w:color="auto" w:fill="auto"/>
          </w:tcPr>
          <w:p>
            <w:pPr>
              <w:numPr>
                <w:ilvl w:val="255"/>
                <w:numId w:val="0"/>
              </w:numPr>
              <w:autoSpaceDE w:val="0"/>
              <w:autoSpaceDN w:val="0"/>
              <w:snapToGrid w:val="0"/>
              <w:spacing w:line="240" w:lineRule="auto"/>
              <w:ind w:right="840" w:rightChars="400"/>
              <w:jc w:val="right"/>
              <w:rPr>
                <w:rFonts w:ascii="宋体" w:hAnsi="宋体" w:cs="宋体"/>
                <w:w w:val="105"/>
                <w:sz w:val="18"/>
                <w:szCs w:val="18"/>
                <w:lang w:eastAsia="en-US"/>
              </w:rPr>
            </w:pPr>
            <w:r>
              <w:rPr>
                <w:rFonts w:hint="eastAsia" w:ascii="宋体" w:hAnsi="宋体" w:cs="宋体"/>
                <w:w w:val="105"/>
                <w:sz w:val="18"/>
                <w:szCs w:val="18"/>
                <w:lang w:eastAsia="en-US"/>
              </w:rPr>
              <w:t>10</w:t>
            </w:r>
            <w:r>
              <w:rPr>
                <w:rFonts w:ascii="宋体" w:hAnsi="宋体" w:cs="宋体"/>
                <w:w w:val="105"/>
                <w:sz w:val="18"/>
                <w:szCs w:val="18"/>
                <w:lang w:eastAsia="en-US"/>
              </w:rPr>
              <w:t>.00</w:t>
            </w:r>
          </w:p>
        </w:tc>
        <w:tc>
          <w:tcPr>
            <w:tcW w:w="2013" w:type="dxa"/>
            <w:tcBorders>
              <w:right w:val="single" w:color="auto" w:sz="8" w:space="0"/>
            </w:tcBorders>
            <w:shd w:val="clear" w:color="auto" w:fill="auto"/>
          </w:tcPr>
          <w:p>
            <w:pPr>
              <w:numPr>
                <w:ilvl w:val="255"/>
                <w:numId w:val="0"/>
              </w:numPr>
              <w:autoSpaceDE w:val="0"/>
              <w:autoSpaceDN w:val="0"/>
              <w:snapToGrid w:val="0"/>
              <w:spacing w:line="240" w:lineRule="auto"/>
              <w:ind w:right="630" w:rightChars="300"/>
              <w:jc w:val="right"/>
              <w:rPr>
                <w:rFonts w:ascii="宋体" w:hAnsi="宋体" w:cs="宋体"/>
                <w:w w:val="105"/>
                <w:sz w:val="18"/>
                <w:szCs w:val="18"/>
                <w:lang w:eastAsia="en-US"/>
              </w:rPr>
            </w:pPr>
            <w:r>
              <w:rPr>
                <w:rFonts w:hint="eastAsia" w:ascii="宋体" w:hAnsi="宋体" w:cs="宋体"/>
                <w:w w:val="105"/>
                <w:sz w:val="18"/>
                <w:szCs w:val="18"/>
                <w:lang w:eastAsia="en-US"/>
              </w:rPr>
              <w:t>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50" w:type="dxa"/>
            <w:tcBorders>
              <w:left w:val="single" w:color="auto" w:sz="8" w:space="0"/>
              <w:bottom w:val="single" w:color="auto" w:sz="4" w:space="0"/>
            </w:tcBorders>
            <w:shd w:val="clear" w:color="auto" w:fill="auto"/>
            <w:vAlign w:val="center"/>
          </w:tcPr>
          <w:p>
            <w:pPr>
              <w:numPr>
                <w:ilvl w:val="255"/>
                <w:numId w:val="0"/>
              </w:numPr>
              <w:autoSpaceDE w:val="0"/>
              <w:autoSpaceDN w:val="0"/>
              <w:snapToGrid w:val="0"/>
              <w:spacing w:line="240" w:lineRule="auto"/>
              <w:jc w:val="center"/>
              <w:rPr>
                <w:rFonts w:ascii="宋体" w:hAnsi="宋体" w:cs="宋体"/>
                <w:w w:val="105"/>
                <w:sz w:val="18"/>
                <w:szCs w:val="18"/>
                <w:lang w:eastAsia="en-US"/>
              </w:rPr>
            </w:pPr>
            <w:r>
              <w:rPr>
                <w:rFonts w:hint="eastAsia" w:ascii="宋体" w:hAnsi="宋体" w:cs="宋体"/>
                <w:sz w:val="18"/>
                <w:szCs w:val="18"/>
              </w:rPr>
              <w:t>掺合料</w:t>
            </w:r>
          </w:p>
        </w:tc>
        <w:tc>
          <w:tcPr>
            <w:tcW w:w="2006" w:type="dxa"/>
            <w:tcBorders>
              <w:bottom w:val="single" w:color="auto" w:sz="4" w:space="0"/>
            </w:tcBorders>
            <w:shd w:val="clear" w:color="auto" w:fill="auto"/>
            <w:vAlign w:val="center"/>
          </w:tcPr>
          <w:p>
            <w:pPr>
              <w:numPr>
                <w:ilvl w:val="255"/>
                <w:numId w:val="0"/>
              </w:numPr>
              <w:autoSpaceDE w:val="0"/>
              <w:autoSpaceDN w:val="0"/>
              <w:snapToGrid w:val="0"/>
              <w:spacing w:line="240" w:lineRule="auto"/>
              <w:ind w:right="630" w:rightChars="300"/>
              <w:jc w:val="right"/>
              <w:rPr>
                <w:rFonts w:ascii="宋体" w:hAnsi="宋体" w:cs="宋体"/>
                <w:w w:val="105"/>
                <w:sz w:val="18"/>
                <w:szCs w:val="18"/>
                <w:lang w:eastAsia="en-US"/>
              </w:rPr>
            </w:pPr>
            <w:r>
              <w:rPr>
                <w:rFonts w:hint="eastAsia" w:ascii="宋体" w:hAnsi="宋体" w:cs="宋体"/>
                <w:w w:val="105"/>
                <w:sz w:val="18"/>
                <w:szCs w:val="18"/>
                <w:lang w:eastAsia="en-US"/>
              </w:rPr>
              <w:t>5.60</w:t>
            </w:r>
          </w:p>
        </w:tc>
        <w:tc>
          <w:tcPr>
            <w:tcW w:w="1596" w:type="dxa"/>
            <w:tcBorders>
              <w:bottom w:val="single" w:color="auto" w:sz="4" w:space="0"/>
            </w:tcBorders>
            <w:shd w:val="clear" w:color="auto" w:fill="auto"/>
            <w:vAlign w:val="center"/>
          </w:tcPr>
          <w:p>
            <w:pPr>
              <w:numPr>
                <w:ilvl w:val="255"/>
                <w:numId w:val="0"/>
              </w:numPr>
              <w:autoSpaceDE w:val="0"/>
              <w:autoSpaceDN w:val="0"/>
              <w:snapToGrid w:val="0"/>
              <w:spacing w:line="240" w:lineRule="auto"/>
              <w:ind w:right="315" w:rightChars="150"/>
              <w:jc w:val="right"/>
              <w:rPr>
                <w:rFonts w:ascii="宋体" w:hAnsi="宋体" w:cs="宋体"/>
                <w:w w:val="105"/>
                <w:sz w:val="18"/>
                <w:szCs w:val="18"/>
                <w:lang w:eastAsia="en-US"/>
              </w:rPr>
            </w:pPr>
            <w:r>
              <w:rPr>
                <w:rFonts w:hint="eastAsia" w:ascii="宋体" w:hAnsi="宋体" w:cs="宋体"/>
                <w:w w:val="105"/>
                <w:sz w:val="18"/>
                <w:szCs w:val="18"/>
                <w:lang w:eastAsia="en-US"/>
              </w:rPr>
              <w:t>109.000</w:t>
            </w:r>
          </w:p>
        </w:tc>
        <w:tc>
          <w:tcPr>
            <w:tcW w:w="2184" w:type="dxa"/>
            <w:tcBorders>
              <w:bottom w:val="single" w:color="auto" w:sz="4" w:space="0"/>
            </w:tcBorders>
            <w:shd w:val="clear" w:color="auto" w:fill="auto"/>
          </w:tcPr>
          <w:p>
            <w:pPr>
              <w:numPr>
                <w:ilvl w:val="255"/>
                <w:numId w:val="0"/>
              </w:numPr>
              <w:autoSpaceDE w:val="0"/>
              <w:autoSpaceDN w:val="0"/>
              <w:snapToGrid w:val="0"/>
              <w:spacing w:line="240" w:lineRule="auto"/>
              <w:ind w:right="840" w:rightChars="400"/>
              <w:jc w:val="right"/>
              <w:rPr>
                <w:rFonts w:ascii="宋体" w:hAnsi="宋体" w:cs="宋体"/>
                <w:w w:val="105"/>
                <w:sz w:val="18"/>
                <w:szCs w:val="18"/>
              </w:rPr>
            </w:pPr>
            <w:r>
              <w:rPr>
                <w:rFonts w:hint="eastAsia" w:ascii="宋体" w:hAnsi="宋体" w:cs="宋体"/>
                <w:w w:val="105"/>
                <w:sz w:val="18"/>
                <w:szCs w:val="18"/>
              </w:rPr>
              <w:t>—</w:t>
            </w:r>
          </w:p>
        </w:tc>
        <w:tc>
          <w:tcPr>
            <w:tcW w:w="2013" w:type="dxa"/>
            <w:tcBorders>
              <w:bottom w:val="single" w:color="auto" w:sz="4" w:space="0"/>
              <w:right w:val="single" w:color="auto" w:sz="8" w:space="0"/>
            </w:tcBorders>
            <w:shd w:val="clear" w:color="auto" w:fill="auto"/>
            <w:vAlign w:val="center"/>
          </w:tcPr>
          <w:p>
            <w:pPr>
              <w:numPr>
                <w:ilvl w:val="255"/>
                <w:numId w:val="0"/>
              </w:numPr>
              <w:autoSpaceDE w:val="0"/>
              <w:autoSpaceDN w:val="0"/>
              <w:snapToGrid w:val="0"/>
              <w:spacing w:line="240" w:lineRule="auto"/>
              <w:ind w:right="630" w:rightChars="300"/>
              <w:jc w:val="right"/>
              <w:rPr>
                <w:rFonts w:ascii="宋体" w:hAnsi="宋体" w:cs="宋体"/>
                <w:w w:val="105"/>
                <w:sz w:val="18"/>
                <w:szCs w:val="18"/>
                <w:lang w:eastAsia="en-US"/>
              </w:rPr>
            </w:pPr>
            <w:r>
              <w:rPr>
                <w:rFonts w:hint="eastAsia" w:ascii="宋体" w:hAnsi="宋体" w:cs="宋体"/>
                <w:w w:val="105"/>
                <w:sz w:val="18"/>
                <w:szCs w:val="18"/>
                <w:lang w:eastAsia="en-US"/>
              </w:rPr>
              <w:t>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50" w:type="dxa"/>
            <w:tcBorders>
              <w:left w:val="single" w:color="auto" w:sz="8" w:space="0"/>
              <w:bottom w:val="single" w:color="auto" w:sz="8" w:space="0"/>
            </w:tcBorders>
            <w:shd w:val="clear" w:color="auto" w:fill="auto"/>
            <w:vAlign w:val="center"/>
          </w:tcPr>
          <w:p>
            <w:pPr>
              <w:numPr>
                <w:ilvl w:val="255"/>
                <w:numId w:val="0"/>
              </w:numPr>
              <w:autoSpaceDE w:val="0"/>
              <w:autoSpaceDN w:val="0"/>
              <w:snapToGrid w:val="0"/>
              <w:spacing w:line="240" w:lineRule="auto"/>
              <w:jc w:val="center"/>
              <w:rPr>
                <w:rFonts w:ascii="宋体" w:hAnsi="宋体" w:cs="宋体"/>
                <w:w w:val="105"/>
                <w:sz w:val="18"/>
                <w:szCs w:val="18"/>
              </w:rPr>
            </w:pPr>
            <w:r>
              <w:rPr>
                <w:rFonts w:hint="eastAsia" w:ascii="宋体" w:hAnsi="宋体" w:cs="宋体"/>
                <w:w w:val="105"/>
                <w:sz w:val="18"/>
                <w:szCs w:val="18"/>
              </w:rPr>
              <w:t>其他</w:t>
            </w:r>
          </w:p>
        </w:tc>
        <w:tc>
          <w:tcPr>
            <w:tcW w:w="2006" w:type="dxa"/>
            <w:tcBorders>
              <w:bottom w:val="single" w:color="auto" w:sz="8" w:space="0"/>
            </w:tcBorders>
            <w:shd w:val="clear" w:color="auto" w:fill="auto"/>
            <w:vAlign w:val="center"/>
          </w:tcPr>
          <w:p>
            <w:pPr>
              <w:numPr>
                <w:ilvl w:val="255"/>
                <w:numId w:val="0"/>
              </w:numPr>
              <w:autoSpaceDE w:val="0"/>
              <w:autoSpaceDN w:val="0"/>
              <w:snapToGrid w:val="0"/>
              <w:spacing w:line="240" w:lineRule="auto"/>
              <w:ind w:right="630" w:rightChars="300"/>
              <w:jc w:val="right"/>
              <w:rPr>
                <w:rFonts w:ascii="宋体" w:hAnsi="宋体" w:cs="宋体"/>
                <w:w w:val="105"/>
                <w:sz w:val="18"/>
                <w:szCs w:val="18"/>
                <w:lang w:eastAsia="en-US"/>
              </w:rPr>
            </w:pPr>
            <w:r>
              <w:rPr>
                <w:rFonts w:hint="eastAsia" w:ascii="宋体" w:hAnsi="宋体" w:cs="宋体"/>
                <w:w w:val="105"/>
                <w:sz w:val="18"/>
                <w:szCs w:val="18"/>
                <w:lang w:eastAsia="en-US"/>
              </w:rPr>
              <w:t>50.00</w:t>
            </w:r>
          </w:p>
        </w:tc>
        <w:tc>
          <w:tcPr>
            <w:tcW w:w="1596" w:type="dxa"/>
            <w:tcBorders>
              <w:bottom w:val="single" w:color="auto" w:sz="8" w:space="0"/>
            </w:tcBorders>
            <w:shd w:val="clear" w:color="auto" w:fill="auto"/>
            <w:vAlign w:val="center"/>
          </w:tcPr>
          <w:p>
            <w:pPr>
              <w:numPr>
                <w:ilvl w:val="255"/>
                <w:numId w:val="0"/>
              </w:numPr>
              <w:autoSpaceDE w:val="0"/>
              <w:autoSpaceDN w:val="0"/>
              <w:snapToGrid w:val="0"/>
              <w:spacing w:line="240" w:lineRule="auto"/>
              <w:ind w:right="315" w:rightChars="150"/>
              <w:jc w:val="right"/>
              <w:rPr>
                <w:rFonts w:ascii="宋体" w:hAnsi="宋体" w:cs="宋体"/>
                <w:w w:val="105"/>
                <w:sz w:val="18"/>
                <w:szCs w:val="18"/>
                <w:lang w:eastAsia="en-US"/>
              </w:rPr>
            </w:pPr>
            <w:r>
              <w:rPr>
                <w:rFonts w:hint="eastAsia" w:ascii="宋体" w:hAnsi="宋体" w:cs="宋体"/>
                <w:w w:val="105"/>
                <w:sz w:val="18"/>
                <w:szCs w:val="18"/>
                <w:lang w:eastAsia="en-US"/>
              </w:rPr>
              <w:t>44.00</w:t>
            </w:r>
          </w:p>
        </w:tc>
        <w:tc>
          <w:tcPr>
            <w:tcW w:w="2184" w:type="dxa"/>
            <w:tcBorders>
              <w:bottom w:val="single" w:color="auto" w:sz="8" w:space="0"/>
            </w:tcBorders>
            <w:shd w:val="clear" w:color="auto" w:fill="auto"/>
          </w:tcPr>
          <w:p>
            <w:pPr>
              <w:numPr>
                <w:ilvl w:val="255"/>
                <w:numId w:val="0"/>
              </w:numPr>
              <w:autoSpaceDE w:val="0"/>
              <w:autoSpaceDN w:val="0"/>
              <w:snapToGrid w:val="0"/>
              <w:spacing w:line="240" w:lineRule="auto"/>
              <w:ind w:right="840" w:rightChars="400"/>
              <w:jc w:val="right"/>
              <w:rPr>
                <w:rFonts w:ascii="宋体" w:hAnsi="宋体" w:cs="宋体"/>
                <w:w w:val="105"/>
                <w:sz w:val="18"/>
                <w:szCs w:val="18"/>
              </w:rPr>
            </w:pPr>
            <w:r>
              <w:rPr>
                <w:rFonts w:hint="eastAsia" w:ascii="宋体" w:hAnsi="宋体" w:cs="宋体"/>
                <w:w w:val="105"/>
                <w:sz w:val="18"/>
                <w:szCs w:val="18"/>
              </w:rPr>
              <w:t>—</w:t>
            </w:r>
          </w:p>
        </w:tc>
        <w:tc>
          <w:tcPr>
            <w:tcW w:w="2013" w:type="dxa"/>
            <w:tcBorders>
              <w:bottom w:val="single" w:color="auto" w:sz="8" w:space="0"/>
              <w:right w:val="single" w:color="auto" w:sz="8" w:space="0"/>
            </w:tcBorders>
            <w:shd w:val="clear" w:color="auto" w:fill="auto"/>
            <w:vAlign w:val="center"/>
          </w:tcPr>
          <w:p>
            <w:pPr>
              <w:numPr>
                <w:ilvl w:val="255"/>
                <w:numId w:val="0"/>
              </w:numPr>
              <w:autoSpaceDE w:val="0"/>
              <w:autoSpaceDN w:val="0"/>
              <w:snapToGrid w:val="0"/>
              <w:spacing w:line="240" w:lineRule="auto"/>
              <w:ind w:right="630" w:rightChars="300"/>
              <w:jc w:val="right"/>
              <w:rPr>
                <w:rFonts w:ascii="宋体" w:hAnsi="宋体" w:cs="宋体"/>
                <w:w w:val="105"/>
                <w:sz w:val="18"/>
                <w:szCs w:val="18"/>
                <w:lang w:eastAsia="en-US"/>
              </w:rPr>
            </w:pPr>
            <w:r>
              <w:rPr>
                <w:rFonts w:hint="eastAsia" w:ascii="宋体" w:hAnsi="宋体" w:cs="宋体"/>
                <w:w w:val="105"/>
                <w:sz w:val="18"/>
                <w:szCs w:val="18"/>
                <w:lang w:eastAsia="en-US"/>
              </w:rPr>
              <w:t>2.20</w:t>
            </w:r>
          </w:p>
        </w:tc>
      </w:tr>
    </w:tbl>
    <w:p>
      <w:pPr>
        <w:pStyle w:val="213"/>
        <w:rPr>
          <w:rFonts w:hAnsi="宋体" w:cs="宋体"/>
          <w:bCs/>
          <w:kern w:val="0"/>
          <w:szCs w:val="21"/>
        </w:rPr>
      </w:pPr>
      <w:r>
        <w:rPr>
          <w:rFonts w:hint="eastAsia" w:hAnsi="宋体" w:cs="宋体"/>
          <w:bCs/>
          <w:kern w:val="0"/>
          <w:szCs w:val="21"/>
        </w:rPr>
        <w:t>原材料运输过程的碳排放量计算</w:t>
      </w:r>
      <w:r>
        <w:rPr>
          <w:rFonts w:hint="eastAsia" w:hAnsi="宋体" w:cs="宋体"/>
          <w:bCs/>
          <w:kern w:val="0"/>
          <w:szCs w:val="21"/>
          <w:lang w:val="en-US" w:eastAsia="zh-CN"/>
        </w:rPr>
        <w:t>如下：</w:t>
      </w:r>
    </w:p>
    <w:p>
      <w:pPr>
        <w:pStyle w:val="159"/>
        <w:ind w:firstLine="420" w:firstLineChars="200"/>
        <w:rPr>
          <w:rFonts w:cs="宋体"/>
          <w:bCs/>
          <w:szCs w:val="21"/>
        </w:rPr>
      </w:pPr>
      <w:r>
        <w:rPr>
          <w:rFonts w:hint="eastAsia" w:cs="宋体"/>
          <w:bCs/>
          <w:szCs w:val="21"/>
        </w:rPr>
        <w:t>根据各个原材料供应商到预拌混凝土企业的实际距离，得到各类原材料的运输距离</w:t>
      </w:r>
      <m:oMath>
        <m:sSub>
          <m:sSubPr>
            <m:ctrlPr>
              <w:rPr>
                <w:rFonts w:hint="eastAsia" w:ascii="Cambria Math" w:hAnsi="Cambria Math" w:cs="宋体"/>
                <w:i/>
                <w:szCs w:val="21"/>
              </w:rPr>
            </m:ctrlPr>
          </m:sSubPr>
          <m:e>
            <m:r>
              <m:rPr/>
              <w:rPr>
                <w:rFonts w:hint="eastAsia" w:ascii="Cambria Math" w:hAnsi="Cambria Math" w:cs="宋体"/>
                <w:szCs w:val="21"/>
              </w:rPr>
              <m:t>D</m:t>
            </m:r>
            <m:ctrlPr>
              <w:rPr>
                <w:rFonts w:hint="eastAsia" w:ascii="Cambria Math" w:hAnsi="Cambria Math" w:cs="宋体"/>
                <w:i/>
                <w:szCs w:val="21"/>
              </w:rPr>
            </m:ctrlPr>
          </m:e>
          <m:sub>
            <m:r>
              <m:rPr/>
              <w:rPr>
                <w:rFonts w:hint="eastAsia" w:ascii="Cambria Math" w:hAnsi="Cambria Math" w:cs="宋体"/>
                <w:szCs w:val="21"/>
              </w:rPr>
              <m:t>i</m:t>
            </m:r>
            <m:ctrlPr>
              <w:rPr>
                <w:rFonts w:hint="eastAsia" w:ascii="Cambria Math" w:hAnsi="Cambria Math" w:cs="宋体"/>
                <w:i/>
                <w:szCs w:val="21"/>
              </w:rPr>
            </m:ctrlPr>
          </m:sub>
        </m:sSub>
      </m:oMath>
      <w:r>
        <w:rPr>
          <w:rFonts w:hint="eastAsia" w:cs="宋体"/>
          <w:bCs/>
          <w:szCs w:val="21"/>
        </w:rPr>
        <w:t>。查表</w:t>
      </w:r>
      <w:r>
        <w:rPr>
          <w:rFonts w:cs="宋体"/>
          <w:bCs/>
          <w:szCs w:val="21"/>
        </w:rPr>
        <w:t>4</w:t>
      </w:r>
      <w:r>
        <w:rPr>
          <w:rFonts w:hint="eastAsia" w:cs="宋体"/>
          <w:bCs/>
          <w:szCs w:val="21"/>
        </w:rPr>
        <w:t>得到各运输工具的碳排放因子</w:t>
      </w:r>
      <m:oMath>
        <m:sSub>
          <m:sSubPr>
            <m:ctrlPr>
              <w:rPr>
                <w:rFonts w:hint="eastAsia" w:ascii="Cambria Math" w:hAnsi="Cambria Math" w:cs="宋体"/>
                <w:i/>
                <w:szCs w:val="21"/>
              </w:rPr>
            </m:ctrlPr>
          </m:sSubPr>
          <m:e>
            <m:r>
              <m:rPr/>
              <w:rPr>
                <w:rFonts w:hint="eastAsia" w:ascii="Cambria Math" w:hAnsi="Cambria Math" w:cs="宋体"/>
                <w:szCs w:val="21"/>
              </w:rPr>
              <m:t>T</m:t>
            </m:r>
            <m:ctrlPr>
              <w:rPr>
                <w:rFonts w:hint="eastAsia" w:ascii="Cambria Math" w:hAnsi="Cambria Math" w:cs="宋体"/>
                <w:i/>
                <w:szCs w:val="21"/>
              </w:rPr>
            </m:ctrlPr>
          </m:e>
          <m:sub>
            <m:r>
              <m:rPr/>
              <w:rPr>
                <w:rFonts w:hint="eastAsia" w:ascii="Cambria Math" w:hAnsi="Cambria Math" w:cs="宋体"/>
                <w:szCs w:val="21"/>
              </w:rPr>
              <m:t>i</m:t>
            </m:r>
            <m:ctrlPr>
              <w:rPr>
                <w:rFonts w:hint="eastAsia" w:ascii="Cambria Math" w:hAnsi="Cambria Math" w:cs="宋体"/>
                <w:i/>
                <w:szCs w:val="21"/>
              </w:rPr>
            </m:ctrlPr>
          </m:sub>
        </m:sSub>
      </m:oMath>
      <w:r>
        <w:rPr>
          <w:rFonts w:hint="eastAsia" w:cs="宋体"/>
          <w:bCs/>
          <w:szCs w:val="21"/>
        </w:rPr>
        <w:t>，根据公式（</w:t>
      </w:r>
      <w:r>
        <w:rPr>
          <w:rFonts w:cs="宋体"/>
          <w:bCs/>
          <w:szCs w:val="21"/>
        </w:rPr>
        <w:t>3</w:t>
      </w:r>
      <w:r>
        <w:rPr>
          <w:rFonts w:hint="eastAsia" w:cs="宋体"/>
          <w:bCs/>
          <w:szCs w:val="21"/>
        </w:rPr>
        <w:t>）计算单位产品中原材料运输过程的碳排放</w:t>
      </w:r>
      <m:oMath>
        <m:sSub>
          <m:sSubPr>
            <m:ctrlPr>
              <w:rPr>
                <w:rFonts w:hint="eastAsia" w:ascii="Cambria Math" w:hAnsi="Cambria Math" w:cs="宋体"/>
                <w:i/>
                <w:szCs w:val="21"/>
              </w:rPr>
            </m:ctrlPr>
          </m:sSubPr>
          <m:e>
            <m:r>
              <m:rPr/>
              <w:rPr>
                <w:rFonts w:hint="eastAsia" w:ascii="Cambria Math" w:hAnsi="Cambria Math" w:cs="宋体"/>
                <w:szCs w:val="21"/>
              </w:rPr>
              <m:t>C</m:t>
            </m:r>
            <m:ctrlPr>
              <w:rPr>
                <w:rFonts w:hint="eastAsia" w:ascii="Cambria Math" w:hAnsi="Cambria Math" w:cs="宋体"/>
                <w:i/>
                <w:szCs w:val="21"/>
              </w:rPr>
            </m:ctrlPr>
          </m:e>
          <m:sub>
            <m:r>
              <m:rPr/>
              <w:rPr>
                <w:rFonts w:hint="eastAsia" w:ascii="Cambria Math" w:hAnsi="Cambria Math" w:cs="宋体"/>
                <w:szCs w:val="21"/>
              </w:rPr>
              <m:t>2</m:t>
            </m:r>
            <m:ctrlPr>
              <w:rPr>
                <w:rFonts w:hint="eastAsia" w:ascii="Cambria Math" w:hAnsi="Cambria Math" w:cs="宋体"/>
                <w:i/>
                <w:szCs w:val="21"/>
              </w:rPr>
            </m:ctrlPr>
          </m:sub>
        </m:sSub>
      </m:oMath>
      <w:r>
        <w:rPr>
          <w:rFonts w:hint="eastAsia" w:cs="宋体"/>
          <w:bCs/>
          <w:szCs w:val="21"/>
        </w:rPr>
        <w:t>。计算结果如表7所示，累加后可得到该案例预拌混凝土单位产品中的原材料运输过程碳排放量</w:t>
      </w:r>
      <m:oMath>
        <m:sSub>
          <m:sSubPr>
            <m:ctrlPr>
              <w:rPr>
                <w:rFonts w:hint="eastAsia" w:ascii="Cambria Math" w:hAnsi="Cambria Math" w:cs="宋体"/>
                <w:i/>
                <w:szCs w:val="21"/>
              </w:rPr>
            </m:ctrlPr>
          </m:sSubPr>
          <m:e>
            <m:r>
              <m:rPr/>
              <w:rPr>
                <w:rFonts w:hint="eastAsia" w:ascii="Cambria Math" w:hAnsi="Cambria Math" w:cs="宋体"/>
                <w:szCs w:val="21"/>
              </w:rPr>
              <m:t>C</m:t>
            </m:r>
            <m:ctrlPr>
              <w:rPr>
                <w:rFonts w:hint="eastAsia" w:ascii="Cambria Math" w:hAnsi="Cambria Math" w:cs="宋体"/>
                <w:i/>
                <w:szCs w:val="21"/>
              </w:rPr>
            </m:ctrlPr>
          </m:e>
          <m:sub>
            <m:r>
              <m:rPr/>
              <w:rPr>
                <w:rFonts w:hint="eastAsia" w:ascii="Cambria Math" w:hAnsi="Cambria Math" w:cs="宋体"/>
                <w:szCs w:val="21"/>
              </w:rPr>
              <m:t>2</m:t>
            </m:r>
            <m:ctrlPr>
              <w:rPr>
                <w:rFonts w:hint="eastAsia" w:ascii="Cambria Math" w:hAnsi="Cambria Math" w:cs="宋体"/>
                <w:i/>
                <w:szCs w:val="21"/>
              </w:rPr>
            </m:ctrlPr>
          </m:sub>
        </m:sSub>
      </m:oMath>
      <w:r>
        <w:rPr>
          <w:rFonts w:hint="eastAsia" w:cs="宋体"/>
          <w:bCs/>
          <w:szCs w:val="21"/>
        </w:rPr>
        <w:t>，为7.03 kgCO</w:t>
      </w:r>
      <w:r>
        <w:rPr>
          <w:rFonts w:hint="eastAsia" w:cs="宋体"/>
          <w:bCs/>
          <w:szCs w:val="21"/>
          <w:vertAlign w:val="subscript"/>
        </w:rPr>
        <w:t>2</w:t>
      </w:r>
      <w:r>
        <w:rPr>
          <w:rFonts w:hint="eastAsia" w:cs="宋体"/>
          <w:bCs/>
          <w:szCs w:val="21"/>
        </w:rPr>
        <w:t>e。</w:t>
      </w:r>
    </w:p>
    <w:p>
      <w:pPr>
        <w:numPr>
          <w:ilvl w:val="255"/>
          <w:numId w:val="0"/>
        </w:numPr>
        <w:tabs>
          <w:tab w:val="left" w:pos="20"/>
        </w:tabs>
        <w:adjustRightInd/>
        <w:spacing w:before="156" w:beforeLines="50" w:after="156" w:afterLines="50" w:line="240" w:lineRule="auto"/>
        <w:jc w:val="center"/>
        <w:rPr>
          <w:rFonts w:ascii="黑体" w:hAnsi="黑体" w:eastAsia="黑体" w:cs="黑体"/>
          <w:bCs/>
        </w:rPr>
      </w:pPr>
      <w:r>
        <w:rPr>
          <w:rFonts w:hint="eastAsia" w:ascii="黑体" w:hAnsi="黑体" w:eastAsia="黑体" w:cs="黑体"/>
          <w:bCs/>
        </w:rPr>
        <w:t>表7 案例预拌混凝土单位产品中原材料运输过程的碳排放量计算</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1417"/>
        <w:gridCol w:w="1985"/>
        <w:gridCol w:w="1134"/>
        <w:gridCol w:w="1842"/>
        <w:gridCol w:w="130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47" w:type="dxa"/>
            <w:tcBorders>
              <w:top w:val="single" w:color="auto" w:sz="8" w:space="0"/>
              <w:bottom w:val="single" w:color="auto" w:sz="8" w:space="0"/>
            </w:tcBorders>
            <w:shd w:val="clear" w:color="auto" w:fill="auto"/>
            <w:vAlign w:val="center"/>
          </w:tcPr>
          <w:p>
            <w:pPr>
              <w:numPr>
                <w:ilvl w:val="255"/>
                <w:numId w:val="0"/>
              </w:numPr>
              <w:adjustRightInd/>
              <w:snapToGrid w:val="0"/>
              <w:spacing w:line="240" w:lineRule="auto"/>
              <w:jc w:val="center"/>
              <w:rPr>
                <w:rFonts w:ascii="宋体" w:hAnsi="宋体" w:cs="宋体"/>
                <w:sz w:val="18"/>
                <w:szCs w:val="18"/>
              </w:rPr>
            </w:pPr>
            <w:r>
              <w:rPr>
                <w:rFonts w:hint="eastAsia" w:ascii="宋体" w:hAnsi="宋体" w:cs="宋体"/>
                <w:sz w:val="18"/>
                <w:szCs w:val="18"/>
              </w:rPr>
              <w:t>原材料名称</w:t>
            </w:r>
          </w:p>
        </w:tc>
        <w:tc>
          <w:tcPr>
            <w:tcW w:w="1417" w:type="dxa"/>
            <w:tcBorders>
              <w:top w:val="single" w:color="auto" w:sz="8" w:space="0"/>
              <w:bottom w:val="single" w:color="auto" w:sz="8" w:space="0"/>
            </w:tcBorders>
            <w:shd w:val="clear" w:color="auto" w:fill="auto"/>
            <w:vAlign w:val="center"/>
          </w:tcPr>
          <w:p>
            <w:pPr>
              <w:numPr>
                <w:ilvl w:val="255"/>
                <w:numId w:val="0"/>
              </w:numPr>
              <w:tabs>
                <w:tab w:val="left" w:pos="0"/>
              </w:tabs>
              <w:adjustRightInd/>
              <w:snapToGrid w:val="0"/>
              <w:spacing w:line="240" w:lineRule="auto"/>
              <w:jc w:val="center"/>
              <w:rPr>
                <w:rFonts w:ascii="宋体" w:hAnsi="宋体" w:cs="宋体"/>
                <w:sz w:val="18"/>
                <w:szCs w:val="18"/>
              </w:rPr>
            </w:pPr>
            <w:r>
              <w:rPr>
                <w:rFonts w:hint="eastAsia" w:ascii="宋体" w:hAnsi="宋体" w:cs="宋体"/>
                <w:sz w:val="18"/>
                <w:szCs w:val="18"/>
              </w:rPr>
              <w:t>原材料消耗量</w:t>
            </w:r>
            <m:oMath>
              <m:sSub>
                <m:sSubPr>
                  <m:ctrlPr>
                    <w:rPr>
                      <w:rFonts w:hint="eastAsia" w:ascii="Cambria Math" w:hAnsi="Cambria Math" w:cs="宋体"/>
                      <w:i/>
                      <w:kern w:val="0"/>
                      <w:sz w:val="18"/>
                      <w:szCs w:val="18"/>
                    </w:rPr>
                  </m:ctrlPr>
                </m:sSubPr>
                <m:e>
                  <m:r>
                    <m:rPr/>
                    <w:rPr>
                      <w:rFonts w:hint="eastAsia" w:ascii="Cambria Math" w:hAnsi="Cambria Math" w:cs="宋体"/>
                      <w:kern w:val="0"/>
                      <w:sz w:val="18"/>
                      <w:szCs w:val="18"/>
                    </w:rPr>
                    <m:t>M</m:t>
                  </m:r>
                  <m:ctrlPr>
                    <w:rPr>
                      <w:rFonts w:hint="eastAsia" w:ascii="Cambria Math" w:hAnsi="Cambria Math" w:cs="宋体"/>
                      <w:i/>
                      <w:kern w:val="0"/>
                      <w:sz w:val="18"/>
                      <w:szCs w:val="18"/>
                    </w:rPr>
                  </m:ctrlPr>
                </m:e>
                <m:sub>
                  <m:r>
                    <m:rPr/>
                    <w:rPr>
                      <w:rFonts w:hint="eastAsia" w:ascii="Cambria Math" w:hAnsi="Cambria Math" w:cs="宋体"/>
                      <w:kern w:val="0"/>
                      <w:sz w:val="18"/>
                      <w:szCs w:val="18"/>
                    </w:rPr>
                    <m:t>i</m:t>
                  </m:r>
                  <m:ctrlPr>
                    <w:rPr>
                      <w:rFonts w:hint="eastAsia" w:ascii="Cambria Math" w:hAnsi="Cambria Math" w:cs="宋体"/>
                      <w:i/>
                      <w:kern w:val="0"/>
                      <w:sz w:val="18"/>
                      <w:szCs w:val="18"/>
                    </w:rPr>
                  </m:ctrlPr>
                </m:sub>
              </m:sSub>
            </m:oMath>
            <w:r>
              <w:rPr>
                <w:rFonts w:hint="eastAsia" w:ascii="宋体" w:hAnsi="宋体" w:cs="宋体"/>
                <w:sz w:val="18"/>
                <w:szCs w:val="18"/>
              </w:rPr>
              <w:t>（kg）</w:t>
            </w:r>
          </w:p>
        </w:tc>
        <w:tc>
          <w:tcPr>
            <w:tcW w:w="1985" w:type="dxa"/>
            <w:tcBorders>
              <w:top w:val="single" w:color="auto" w:sz="8" w:space="0"/>
              <w:bottom w:val="single" w:color="auto" w:sz="8" w:space="0"/>
            </w:tcBorders>
            <w:shd w:val="clear" w:color="auto" w:fill="auto"/>
            <w:vAlign w:val="center"/>
          </w:tcPr>
          <w:p>
            <w:pPr>
              <w:numPr>
                <w:ilvl w:val="255"/>
                <w:numId w:val="0"/>
              </w:numPr>
              <w:adjustRightInd/>
              <w:snapToGrid w:val="0"/>
              <w:spacing w:line="240" w:lineRule="auto"/>
              <w:jc w:val="center"/>
              <w:rPr>
                <w:rFonts w:ascii="宋体" w:hAnsi="宋体" w:cs="宋体"/>
                <w:sz w:val="18"/>
                <w:szCs w:val="18"/>
              </w:rPr>
            </w:pPr>
            <w:r>
              <w:rPr>
                <w:rFonts w:hint="eastAsia" w:ascii="宋体" w:hAnsi="宋体" w:cs="宋体"/>
                <w:sz w:val="18"/>
                <w:szCs w:val="18"/>
              </w:rPr>
              <w:t>运输方式</w:t>
            </w:r>
          </w:p>
        </w:tc>
        <w:tc>
          <w:tcPr>
            <w:tcW w:w="1134" w:type="dxa"/>
            <w:tcBorders>
              <w:top w:val="single" w:color="auto" w:sz="8" w:space="0"/>
              <w:bottom w:val="single" w:color="auto" w:sz="8" w:space="0"/>
            </w:tcBorders>
            <w:shd w:val="clear" w:color="auto" w:fill="auto"/>
            <w:vAlign w:val="center"/>
          </w:tcPr>
          <w:p>
            <w:pPr>
              <w:numPr>
                <w:ilvl w:val="255"/>
                <w:numId w:val="0"/>
              </w:numPr>
              <w:tabs>
                <w:tab w:val="left" w:pos="0"/>
              </w:tabs>
              <w:adjustRightInd/>
              <w:snapToGrid w:val="0"/>
              <w:spacing w:line="240" w:lineRule="auto"/>
              <w:jc w:val="center"/>
              <w:rPr>
                <w:rFonts w:ascii="宋体" w:hAnsi="宋体" w:cs="宋体"/>
                <w:sz w:val="18"/>
                <w:szCs w:val="18"/>
              </w:rPr>
            </w:pPr>
            <w:r>
              <w:rPr>
                <w:rFonts w:hint="eastAsia" w:ascii="宋体" w:hAnsi="宋体" w:cs="宋体"/>
                <w:sz w:val="18"/>
                <w:szCs w:val="18"/>
              </w:rPr>
              <w:t>运输距离</w:t>
            </w:r>
            <m:oMath>
              <m:sSub>
                <m:sSubPr>
                  <m:ctrlPr>
                    <w:rPr>
                      <w:rFonts w:hint="eastAsia" w:ascii="Cambria Math" w:hAnsi="Cambria Math" w:cs="宋体"/>
                      <w:i/>
                      <w:iCs/>
                      <w:sz w:val="18"/>
                      <w:szCs w:val="18"/>
                    </w:rPr>
                  </m:ctrlPr>
                </m:sSubPr>
                <m:e>
                  <m:r>
                    <m:rPr/>
                    <w:rPr>
                      <w:rFonts w:hint="eastAsia" w:ascii="Cambria Math" w:hAnsi="Cambria Math" w:cs="宋体"/>
                      <w:sz w:val="18"/>
                      <w:szCs w:val="18"/>
                    </w:rPr>
                    <m:t>D</m:t>
                  </m:r>
                  <m:ctrlPr>
                    <w:rPr>
                      <w:rFonts w:hint="eastAsia" w:ascii="Cambria Math" w:hAnsi="Cambria Math" w:cs="宋体"/>
                      <w:i/>
                      <w:iCs/>
                      <w:sz w:val="18"/>
                      <w:szCs w:val="18"/>
                    </w:rPr>
                  </m:ctrlPr>
                </m:e>
                <m:sub>
                  <m:r>
                    <m:rPr/>
                    <w:rPr>
                      <w:rFonts w:hint="eastAsia" w:ascii="Cambria Math" w:hAnsi="Cambria Math" w:cs="宋体"/>
                      <w:sz w:val="18"/>
                      <w:szCs w:val="18"/>
                    </w:rPr>
                    <m:t>i</m:t>
                  </m:r>
                  <m:ctrlPr>
                    <w:rPr>
                      <w:rFonts w:hint="eastAsia" w:ascii="Cambria Math" w:hAnsi="Cambria Math" w:cs="宋体"/>
                      <w:i/>
                      <w:iCs/>
                      <w:sz w:val="18"/>
                      <w:szCs w:val="18"/>
                    </w:rPr>
                  </m:ctrlPr>
                </m:sub>
              </m:sSub>
            </m:oMath>
            <w:r>
              <w:rPr>
                <w:rFonts w:hint="eastAsia" w:ascii="宋体" w:hAnsi="宋体" w:cs="宋体"/>
                <w:sz w:val="18"/>
                <w:szCs w:val="18"/>
              </w:rPr>
              <w:t>（km）</w:t>
            </w:r>
          </w:p>
        </w:tc>
        <w:tc>
          <w:tcPr>
            <w:tcW w:w="1842" w:type="dxa"/>
            <w:tcBorders>
              <w:top w:val="single" w:color="auto" w:sz="8" w:space="0"/>
              <w:bottom w:val="single" w:color="auto" w:sz="8" w:space="0"/>
            </w:tcBorders>
            <w:shd w:val="clear" w:color="auto" w:fill="auto"/>
            <w:vAlign w:val="center"/>
          </w:tcPr>
          <w:p>
            <w:pPr>
              <w:numPr>
                <w:ilvl w:val="255"/>
                <w:numId w:val="0"/>
              </w:numPr>
              <w:tabs>
                <w:tab w:val="left" w:pos="0"/>
              </w:tabs>
              <w:adjustRightInd/>
              <w:snapToGrid w:val="0"/>
              <w:spacing w:line="240" w:lineRule="auto"/>
              <w:jc w:val="center"/>
              <w:rPr>
                <w:rFonts w:ascii="宋体" w:hAnsi="宋体" w:cs="宋体"/>
                <w:sz w:val="18"/>
                <w:szCs w:val="18"/>
              </w:rPr>
            </w:pPr>
            <w:r>
              <w:rPr>
                <w:rFonts w:hint="eastAsia" w:ascii="宋体" w:hAnsi="宋体" w:cs="宋体"/>
                <w:sz w:val="18"/>
                <w:szCs w:val="18"/>
              </w:rPr>
              <w:t>碳排放因子</w:t>
            </w:r>
            <m:oMath>
              <m:sSub>
                <m:sSubPr>
                  <m:ctrlPr>
                    <w:rPr>
                      <w:rFonts w:hint="eastAsia" w:ascii="Cambria Math" w:hAnsi="Cambria Math" w:cs="宋体"/>
                      <w:i/>
                      <w:iCs/>
                      <w:sz w:val="18"/>
                      <w:szCs w:val="18"/>
                    </w:rPr>
                  </m:ctrlPr>
                </m:sSubPr>
                <m:e>
                  <m:r>
                    <m:rPr/>
                    <w:rPr>
                      <w:rFonts w:hint="eastAsia" w:ascii="Cambria Math" w:hAnsi="Cambria Math" w:cs="宋体"/>
                      <w:sz w:val="18"/>
                      <w:szCs w:val="18"/>
                    </w:rPr>
                    <m:t>T</m:t>
                  </m:r>
                  <m:ctrlPr>
                    <w:rPr>
                      <w:rFonts w:hint="eastAsia" w:ascii="Cambria Math" w:hAnsi="Cambria Math" w:cs="宋体"/>
                      <w:i/>
                      <w:iCs/>
                      <w:sz w:val="18"/>
                      <w:szCs w:val="18"/>
                    </w:rPr>
                  </m:ctrlPr>
                </m:e>
                <m:sub>
                  <m:r>
                    <m:rPr/>
                    <w:rPr>
                      <w:rFonts w:hint="eastAsia" w:ascii="Cambria Math" w:hAnsi="Cambria Math" w:cs="宋体"/>
                      <w:sz w:val="18"/>
                      <w:szCs w:val="18"/>
                    </w:rPr>
                    <m:t>i</m:t>
                  </m:r>
                  <m:ctrlPr>
                    <w:rPr>
                      <w:rFonts w:hint="eastAsia" w:ascii="Cambria Math" w:hAnsi="Cambria Math" w:cs="宋体"/>
                      <w:i/>
                      <w:iCs/>
                      <w:sz w:val="18"/>
                      <w:szCs w:val="18"/>
                    </w:rPr>
                  </m:ctrlPr>
                </m:sub>
              </m:sSub>
            </m:oMath>
          </w:p>
          <w:p>
            <w:pPr>
              <w:numPr>
                <w:ilvl w:val="255"/>
                <w:numId w:val="0"/>
              </w:numPr>
              <w:tabs>
                <w:tab w:val="left" w:pos="0"/>
              </w:tabs>
              <w:adjustRightInd/>
              <w:snapToGrid w:val="0"/>
              <w:spacing w:line="240" w:lineRule="auto"/>
              <w:jc w:val="center"/>
              <w:rPr>
                <w:rFonts w:ascii="宋体" w:hAnsi="宋体" w:cs="宋体"/>
                <w:sz w:val="18"/>
                <w:szCs w:val="18"/>
              </w:rPr>
            </w:pPr>
            <w:r>
              <w:rPr>
                <w:rFonts w:hint="eastAsia" w:ascii="宋体" w:hAnsi="宋体" w:cs="宋体"/>
                <w:sz w:val="18"/>
                <w:szCs w:val="18"/>
              </w:rPr>
              <w:t>[kgCO</w:t>
            </w:r>
            <w:r>
              <w:rPr>
                <w:rFonts w:hint="eastAsia" w:ascii="宋体" w:hAnsi="宋体" w:cs="宋体"/>
                <w:sz w:val="18"/>
                <w:szCs w:val="18"/>
                <w:vertAlign w:val="subscript"/>
              </w:rPr>
              <w:t>2</w:t>
            </w:r>
            <w:r>
              <w:rPr>
                <w:rFonts w:hint="eastAsia" w:ascii="宋体" w:hAnsi="宋体" w:cs="宋体"/>
                <w:sz w:val="18"/>
                <w:szCs w:val="18"/>
              </w:rPr>
              <w:t>e/(t·km)]</w:t>
            </w:r>
          </w:p>
        </w:tc>
        <w:tc>
          <w:tcPr>
            <w:tcW w:w="1302" w:type="dxa"/>
            <w:tcBorders>
              <w:top w:val="single" w:color="auto" w:sz="8" w:space="0"/>
              <w:bottom w:val="single" w:color="auto" w:sz="8" w:space="0"/>
            </w:tcBorders>
            <w:shd w:val="clear" w:color="auto" w:fill="auto"/>
            <w:vAlign w:val="center"/>
          </w:tcPr>
          <w:p>
            <w:pPr>
              <w:numPr>
                <w:ilvl w:val="255"/>
                <w:numId w:val="0"/>
              </w:numPr>
              <w:tabs>
                <w:tab w:val="left" w:pos="0"/>
              </w:tabs>
              <w:adjustRightInd/>
              <w:snapToGrid w:val="0"/>
              <w:spacing w:line="240" w:lineRule="auto"/>
              <w:jc w:val="center"/>
              <w:rPr>
                <w:rFonts w:ascii="宋体" w:hAnsi="宋体" w:cs="宋体"/>
                <w:sz w:val="18"/>
                <w:szCs w:val="18"/>
              </w:rPr>
            </w:pPr>
            <w:r>
              <w:rPr>
                <w:rFonts w:hint="eastAsia" w:ascii="宋体" w:hAnsi="宋体" w:cs="宋体"/>
                <w:sz w:val="18"/>
                <w:szCs w:val="18"/>
              </w:rPr>
              <w:t>碳排放贡献值</w:t>
            </w:r>
          </w:p>
          <w:p>
            <w:pPr>
              <w:numPr>
                <w:ilvl w:val="255"/>
                <w:numId w:val="0"/>
              </w:numPr>
              <w:tabs>
                <w:tab w:val="left" w:pos="0"/>
              </w:tabs>
              <w:adjustRightInd/>
              <w:snapToGrid w:val="0"/>
              <w:spacing w:line="240" w:lineRule="auto"/>
              <w:jc w:val="center"/>
              <w:rPr>
                <w:rFonts w:ascii="宋体" w:hAnsi="宋体" w:cs="宋体"/>
                <w:sz w:val="18"/>
                <w:szCs w:val="18"/>
              </w:rPr>
            </w:pPr>
            <w:r>
              <w:rPr>
                <w:rFonts w:hint="eastAsia" w:ascii="宋体" w:hAnsi="宋体" w:cs="宋体"/>
                <w:sz w:val="18"/>
                <w:szCs w:val="18"/>
              </w:rPr>
              <w:t>（kgCO</w:t>
            </w:r>
            <w:r>
              <w:rPr>
                <w:rFonts w:hint="eastAsia" w:ascii="宋体" w:hAnsi="宋体" w:cs="宋体"/>
                <w:sz w:val="18"/>
                <w:szCs w:val="18"/>
                <w:vertAlign w:val="subscript"/>
              </w:rPr>
              <w:t>2</w:t>
            </w:r>
            <w:r>
              <w:rPr>
                <w:rFonts w:hint="eastAsia" w:ascii="宋体" w:hAnsi="宋体" w:cs="宋体"/>
                <w:sz w:val="18"/>
                <w:szCs w:val="18"/>
              </w:rPr>
              <w:t>e）</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47" w:type="dxa"/>
            <w:tcBorders>
              <w:top w:val="single" w:color="auto" w:sz="8" w:space="0"/>
            </w:tcBorders>
            <w:shd w:val="clear" w:color="auto" w:fill="auto"/>
            <w:vAlign w:val="center"/>
          </w:tcPr>
          <w:p>
            <w:pPr>
              <w:numPr>
                <w:ilvl w:val="255"/>
                <w:numId w:val="0"/>
              </w:numPr>
              <w:adjustRightInd/>
              <w:snapToGrid w:val="0"/>
              <w:spacing w:line="240" w:lineRule="auto"/>
              <w:rPr>
                <w:rFonts w:ascii="宋体" w:hAnsi="宋体" w:cs="宋体"/>
                <w:sz w:val="18"/>
                <w:szCs w:val="18"/>
              </w:rPr>
            </w:pPr>
            <w:r>
              <w:rPr>
                <w:rFonts w:hint="eastAsia" w:ascii="宋体" w:hAnsi="宋体" w:cs="宋体"/>
                <w:sz w:val="18"/>
                <w:szCs w:val="18"/>
              </w:rPr>
              <w:t>水泥P</w:t>
            </w:r>
            <w:r>
              <w:rPr>
                <w:rFonts w:hint="eastAsia" w:ascii="宋体" w:hAnsi="宋体" w:cs="宋体"/>
                <w:bCs/>
                <w:sz w:val="18"/>
                <w:szCs w:val="18"/>
                <w:lang w:bidi="ar"/>
              </w:rPr>
              <w:t>·O</w:t>
            </w:r>
            <w:r>
              <w:rPr>
                <w:rFonts w:hint="eastAsia" w:ascii="宋体" w:hAnsi="宋体" w:cs="宋体"/>
                <w:sz w:val="18"/>
                <w:szCs w:val="18"/>
              </w:rPr>
              <w:t xml:space="preserve"> 42.5</w:t>
            </w:r>
          </w:p>
        </w:tc>
        <w:tc>
          <w:tcPr>
            <w:tcW w:w="1417" w:type="dxa"/>
            <w:tcBorders>
              <w:top w:val="single" w:color="auto" w:sz="8" w:space="0"/>
            </w:tcBorders>
            <w:shd w:val="clear" w:color="auto" w:fill="auto"/>
            <w:vAlign w:val="center"/>
          </w:tcPr>
          <w:p>
            <w:pPr>
              <w:numPr>
                <w:ilvl w:val="255"/>
                <w:numId w:val="0"/>
              </w:numPr>
              <w:adjustRightInd/>
              <w:snapToGrid w:val="0"/>
              <w:spacing w:line="240" w:lineRule="auto"/>
              <w:ind w:right="315" w:rightChars="150"/>
              <w:jc w:val="right"/>
              <w:rPr>
                <w:rFonts w:ascii="宋体" w:hAnsi="宋体" w:cs="宋体"/>
                <w:sz w:val="18"/>
                <w:szCs w:val="18"/>
              </w:rPr>
            </w:pPr>
            <w:r>
              <w:rPr>
                <w:rFonts w:hint="eastAsia" w:ascii="宋体" w:hAnsi="宋体" w:cs="宋体"/>
                <w:sz w:val="18"/>
                <w:szCs w:val="18"/>
              </w:rPr>
              <w:t>230.00</w:t>
            </w:r>
          </w:p>
        </w:tc>
        <w:tc>
          <w:tcPr>
            <w:tcW w:w="1985" w:type="dxa"/>
            <w:tcBorders>
              <w:top w:val="single" w:color="auto" w:sz="8" w:space="0"/>
            </w:tcBorders>
            <w:shd w:val="clear" w:color="auto" w:fill="auto"/>
            <w:vAlign w:val="center"/>
          </w:tcPr>
          <w:p>
            <w:pPr>
              <w:numPr>
                <w:ilvl w:val="255"/>
                <w:numId w:val="0"/>
              </w:numPr>
              <w:adjustRightInd/>
              <w:snapToGrid w:val="0"/>
              <w:spacing w:line="240" w:lineRule="auto"/>
              <w:jc w:val="center"/>
              <w:rPr>
                <w:rFonts w:ascii="宋体" w:hAnsi="宋体" w:cs="宋体"/>
                <w:sz w:val="18"/>
                <w:szCs w:val="18"/>
              </w:rPr>
            </w:pPr>
            <w:r>
              <w:rPr>
                <w:rFonts w:hint="eastAsia" w:ascii="宋体" w:hAnsi="宋体" w:cs="宋体"/>
                <w:bCs/>
                <w:kern w:val="0"/>
                <w:sz w:val="18"/>
                <w:szCs w:val="18"/>
              </w:rPr>
              <w:t>重型柴油货车运输（载重30t）</w:t>
            </w:r>
          </w:p>
        </w:tc>
        <w:tc>
          <w:tcPr>
            <w:tcW w:w="1134" w:type="dxa"/>
            <w:tcBorders>
              <w:top w:val="single" w:color="auto" w:sz="8" w:space="0"/>
            </w:tcBorders>
            <w:shd w:val="clear" w:color="auto" w:fill="auto"/>
            <w:vAlign w:val="center"/>
          </w:tcPr>
          <w:p>
            <w:pPr>
              <w:numPr>
                <w:ilvl w:val="255"/>
                <w:numId w:val="0"/>
              </w:numPr>
              <w:adjustRightInd/>
              <w:snapToGrid w:val="0"/>
              <w:spacing w:line="240" w:lineRule="auto"/>
              <w:ind w:right="210" w:rightChars="100"/>
              <w:jc w:val="right"/>
              <w:rPr>
                <w:rFonts w:ascii="宋体" w:hAnsi="宋体" w:cs="宋体"/>
                <w:sz w:val="18"/>
                <w:szCs w:val="18"/>
              </w:rPr>
            </w:pPr>
            <w:r>
              <w:rPr>
                <w:rFonts w:hint="eastAsia" w:ascii="宋体" w:hAnsi="宋体" w:cs="宋体"/>
                <w:sz w:val="18"/>
                <w:szCs w:val="18"/>
              </w:rPr>
              <w:t>42.50</w:t>
            </w:r>
          </w:p>
        </w:tc>
        <w:tc>
          <w:tcPr>
            <w:tcW w:w="1842" w:type="dxa"/>
            <w:tcBorders>
              <w:top w:val="single" w:color="auto" w:sz="8" w:space="0"/>
            </w:tcBorders>
            <w:shd w:val="clear" w:color="auto" w:fill="auto"/>
            <w:vAlign w:val="center"/>
          </w:tcPr>
          <w:p>
            <w:pPr>
              <w:numPr>
                <w:ilvl w:val="255"/>
                <w:numId w:val="0"/>
              </w:numPr>
              <w:adjustRightInd/>
              <w:snapToGrid w:val="0"/>
              <w:spacing w:line="240" w:lineRule="auto"/>
              <w:jc w:val="center"/>
              <w:rPr>
                <w:rFonts w:ascii="宋体" w:hAnsi="宋体" w:cs="宋体"/>
                <w:sz w:val="18"/>
                <w:szCs w:val="18"/>
              </w:rPr>
            </w:pPr>
            <w:r>
              <w:rPr>
                <w:rFonts w:hint="eastAsia" w:ascii="宋体" w:hAnsi="宋体" w:cs="宋体"/>
                <w:bCs/>
                <w:kern w:val="0"/>
                <w:sz w:val="18"/>
                <w:szCs w:val="18"/>
              </w:rPr>
              <w:t>0.078</w:t>
            </w:r>
          </w:p>
        </w:tc>
        <w:tc>
          <w:tcPr>
            <w:tcW w:w="1302" w:type="dxa"/>
            <w:tcBorders>
              <w:top w:val="single" w:color="auto" w:sz="8" w:space="0"/>
            </w:tcBorders>
            <w:shd w:val="clear" w:color="auto" w:fill="auto"/>
            <w:vAlign w:val="center"/>
          </w:tcPr>
          <w:p>
            <w:pPr>
              <w:numPr>
                <w:ilvl w:val="255"/>
                <w:numId w:val="0"/>
              </w:numPr>
              <w:adjustRightInd/>
              <w:snapToGrid w:val="0"/>
              <w:spacing w:line="240" w:lineRule="auto"/>
              <w:jc w:val="center"/>
              <w:rPr>
                <w:rFonts w:ascii="宋体" w:hAnsi="宋体" w:cs="宋体"/>
                <w:sz w:val="18"/>
                <w:szCs w:val="18"/>
              </w:rPr>
            </w:pPr>
            <w:r>
              <w:rPr>
                <w:rFonts w:hint="eastAsia" w:ascii="宋体" w:hAnsi="宋体" w:cs="宋体"/>
                <w:sz w:val="18"/>
                <w:szCs w:val="18"/>
              </w:rPr>
              <w:t>0.762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47" w:type="dxa"/>
            <w:shd w:val="clear" w:color="auto" w:fill="auto"/>
            <w:vAlign w:val="center"/>
          </w:tcPr>
          <w:p>
            <w:pPr>
              <w:numPr>
                <w:ilvl w:val="255"/>
                <w:numId w:val="0"/>
              </w:numPr>
              <w:adjustRightInd/>
              <w:snapToGrid w:val="0"/>
              <w:spacing w:line="240" w:lineRule="auto"/>
              <w:jc w:val="center"/>
              <w:rPr>
                <w:rFonts w:ascii="宋体" w:hAnsi="宋体" w:cs="宋体"/>
                <w:sz w:val="18"/>
                <w:szCs w:val="18"/>
              </w:rPr>
            </w:pPr>
            <w:r>
              <w:rPr>
                <w:rFonts w:hint="eastAsia" w:ascii="宋体" w:hAnsi="宋体" w:cs="宋体"/>
                <w:sz w:val="18"/>
                <w:szCs w:val="18"/>
              </w:rPr>
              <w:t>碎石</w:t>
            </w:r>
          </w:p>
        </w:tc>
        <w:tc>
          <w:tcPr>
            <w:tcW w:w="1417" w:type="dxa"/>
            <w:shd w:val="clear" w:color="auto" w:fill="auto"/>
            <w:vAlign w:val="center"/>
          </w:tcPr>
          <w:p>
            <w:pPr>
              <w:numPr>
                <w:ilvl w:val="255"/>
                <w:numId w:val="0"/>
              </w:numPr>
              <w:adjustRightInd/>
              <w:snapToGrid w:val="0"/>
              <w:spacing w:line="240" w:lineRule="auto"/>
              <w:ind w:right="315" w:rightChars="150"/>
              <w:jc w:val="right"/>
              <w:rPr>
                <w:rFonts w:ascii="宋体" w:hAnsi="宋体" w:cs="宋体"/>
                <w:sz w:val="18"/>
                <w:szCs w:val="18"/>
              </w:rPr>
            </w:pPr>
            <w:r>
              <w:rPr>
                <w:rFonts w:hint="eastAsia" w:ascii="宋体" w:hAnsi="宋体" w:cs="宋体"/>
                <w:sz w:val="18"/>
                <w:szCs w:val="18"/>
              </w:rPr>
              <w:t>1030.00</w:t>
            </w:r>
          </w:p>
        </w:tc>
        <w:tc>
          <w:tcPr>
            <w:tcW w:w="1985" w:type="dxa"/>
            <w:shd w:val="clear" w:color="auto" w:fill="auto"/>
            <w:vAlign w:val="center"/>
          </w:tcPr>
          <w:p>
            <w:pPr>
              <w:numPr>
                <w:ilvl w:val="255"/>
                <w:numId w:val="0"/>
              </w:numPr>
              <w:adjustRightInd/>
              <w:snapToGrid w:val="0"/>
              <w:spacing w:line="240" w:lineRule="auto"/>
              <w:jc w:val="center"/>
              <w:rPr>
                <w:rFonts w:ascii="宋体" w:hAnsi="宋体" w:cs="宋体"/>
                <w:sz w:val="18"/>
                <w:szCs w:val="18"/>
              </w:rPr>
            </w:pPr>
            <w:r>
              <w:rPr>
                <w:rFonts w:hint="eastAsia" w:ascii="宋体" w:hAnsi="宋体" w:cs="宋体"/>
                <w:sz w:val="18"/>
                <w:szCs w:val="18"/>
              </w:rPr>
              <w:t>集装箱船运输</w:t>
            </w:r>
          </w:p>
          <w:p>
            <w:pPr>
              <w:numPr>
                <w:ilvl w:val="255"/>
                <w:numId w:val="0"/>
              </w:numPr>
              <w:adjustRightInd/>
              <w:snapToGrid w:val="0"/>
              <w:spacing w:line="240" w:lineRule="auto"/>
              <w:jc w:val="center"/>
              <w:rPr>
                <w:rFonts w:ascii="宋体" w:hAnsi="宋体" w:cs="宋体"/>
                <w:sz w:val="18"/>
                <w:szCs w:val="18"/>
              </w:rPr>
            </w:pPr>
            <w:r>
              <w:rPr>
                <w:rFonts w:hint="eastAsia" w:ascii="宋体" w:hAnsi="宋体" w:cs="宋体"/>
                <w:sz w:val="18"/>
                <w:szCs w:val="18"/>
              </w:rPr>
              <w:t>（载重200TEU）</w:t>
            </w:r>
          </w:p>
        </w:tc>
        <w:tc>
          <w:tcPr>
            <w:tcW w:w="1134" w:type="dxa"/>
            <w:shd w:val="clear" w:color="auto" w:fill="auto"/>
            <w:vAlign w:val="center"/>
          </w:tcPr>
          <w:p>
            <w:pPr>
              <w:numPr>
                <w:ilvl w:val="255"/>
                <w:numId w:val="0"/>
              </w:numPr>
              <w:adjustRightInd/>
              <w:snapToGrid w:val="0"/>
              <w:spacing w:line="240" w:lineRule="auto"/>
              <w:ind w:right="210" w:rightChars="100"/>
              <w:jc w:val="right"/>
              <w:rPr>
                <w:rFonts w:ascii="宋体" w:hAnsi="宋体" w:cs="宋体"/>
                <w:sz w:val="18"/>
                <w:szCs w:val="18"/>
              </w:rPr>
            </w:pPr>
            <w:r>
              <w:rPr>
                <w:rFonts w:hint="eastAsia" w:ascii="宋体" w:hAnsi="宋体" w:cs="宋体"/>
                <w:sz w:val="18"/>
                <w:szCs w:val="18"/>
              </w:rPr>
              <w:t>299.10</w:t>
            </w:r>
          </w:p>
        </w:tc>
        <w:tc>
          <w:tcPr>
            <w:tcW w:w="1842" w:type="dxa"/>
            <w:shd w:val="clear" w:color="auto" w:fill="auto"/>
            <w:vAlign w:val="center"/>
          </w:tcPr>
          <w:p>
            <w:pPr>
              <w:numPr>
                <w:ilvl w:val="255"/>
                <w:numId w:val="0"/>
              </w:numPr>
              <w:adjustRightInd/>
              <w:snapToGrid w:val="0"/>
              <w:spacing w:line="240" w:lineRule="auto"/>
              <w:jc w:val="center"/>
              <w:rPr>
                <w:rFonts w:ascii="宋体" w:hAnsi="宋体" w:cs="宋体"/>
                <w:sz w:val="18"/>
                <w:szCs w:val="18"/>
              </w:rPr>
            </w:pPr>
            <w:r>
              <w:rPr>
                <w:rFonts w:hint="eastAsia" w:ascii="宋体" w:hAnsi="宋体" w:cs="宋体"/>
                <w:sz w:val="18"/>
                <w:szCs w:val="18"/>
              </w:rPr>
              <w:t>0.012</w:t>
            </w:r>
          </w:p>
        </w:tc>
        <w:tc>
          <w:tcPr>
            <w:tcW w:w="1302" w:type="dxa"/>
            <w:shd w:val="clear" w:color="auto" w:fill="auto"/>
            <w:vAlign w:val="center"/>
          </w:tcPr>
          <w:p>
            <w:pPr>
              <w:numPr>
                <w:ilvl w:val="255"/>
                <w:numId w:val="0"/>
              </w:numPr>
              <w:adjustRightInd/>
              <w:snapToGrid w:val="0"/>
              <w:spacing w:line="240" w:lineRule="auto"/>
              <w:jc w:val="center"/>
              <w:rPr>
                <w:rFonts w:ascii="宋体" w:hAnsi="宋体" w:cs="宋体"/>
                <w:sz w:val="18"/>
                <w:szCs w:val="18"/>
              </w:rPr>
            </w:pPr>
            <w:r>
              <w:rPr>
                <w:rFonts w:hint="eastAsia" w:ascii="宋体" w:hAnsi="宋体" w:cs="宋体"/>
                <w:sz w:val="18"/>
                <w:szCs w:val="18"/>
              </w:rPr>
              <w:t>3.697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47" w:type="dxa"/>
            <w:shd w:val="clear" w:color="auto" w:fill="auto"/>
            <w:vAlign w:val="center"/>
          </w:tcPr>
          <w:p>
            <w:pPr>
              <w:numPr>
                <w:ilvl w:val="255"/>
                <w:numId w:val="0"/>
              </w:numPr>
              <w:adjustRightInd/>
              <w:snapToGrid w:val="0"/>
              <w:spacing w:line="240" w:lineRule="auto"/>
              <w:jc w:val="center"/>
              <w:rPr>
                <w:rFonts w:ascii="宋体" w:hAnsi="宋体" w:cs="宋体"/>
                <w:sz w:val="18"/>
                <w:szCs w:val="18"/>
              </w:rPr>
            </w:pPr>
            <w:r>
              <w:rPr>
                <w:rFonts w:hint="eastAsia" w:ascii="宋体" w:hAnsi="宋体" w:cs="宋体"/>
                <w:sz w:val="18"/>
                <w:szCs w:val="18"/>
              </w:rPr>
              <w:t>砂</w:t>
            </w:r>
          </w:p>
        </w:tc>
        <w:tc>
          <w:tcPr>
            <w:tcW w:w="1417" w:type="dxa"/>
            <w:shd w:val="clear" w:color="auto" w:fill="auto"/>
            <w:vAlign w:val="center"/>
          </w:tcPr>
          <w:p>
            <w:pPr>
              <w:numPr>
                <w:ilvl w:val="255"/>
                <w:numId w:val="0"/>
              </w:numPr>
              <w:adjustRightInd/>
              <w:snapToGrid w:val="0"/>
              <w:spacing w:line="240" w:lineRule="auto"/>
              <w:ind w:right="315" w:rightChars="150"/>
              <w:jc w:val="right"/>
              <w:rPr>
                <w:rFonts w:ascii="宋体" w:hAnsi="宋体" w:cs="宋体"/>
                <w:sz w:val="18"/>
                <w:szCs w:val="18"/>
              </w:rPr>
            </w:pPr>
            <w:r>
              <w:rPr>
                <w:rFonts w:hint="eastAsia" w:ascii="宋体" w:hAnsi="宋体" w:cs="宋体"/>
                <w:sz w:val="18"/>
                <w:szCs w:val="18"/>
              </w:rPr>
              <w:t>860.00</w:t>
            </w:r>
          </w:p>
        </w:tc>
        <w:tc>
          <w:tcPr>
            <w:tcW w:w="1985" w:type="dxa"/>
            <w:shd w:val="clear" w:color="auto" w:fill="auto"/>
            <w:vAlign w:val="center"/>
          </w:tcPr>
          <w:p>
            <w:pPr>
              <w:numPr>
                <w:ilvl w:val="255"/>
                <w:numId w:val="0"/>
              </w:numPr>
              <w:adjustRightInd/>
              <w:snapToGrid w:val="0"/>
              <w:spacing w:line="240" w:lineRule="auto"/>
              <w:jc w:val="center"/>
              <w:rPr>
                <w:rFonts w:ascii="宋体" w:hAnsi="宋体" w:cs="宋体"/>
                <w:sz w:val="18"/>
                <w:szCs w:val="18"/>
              </w:rPr>
            </w:pPr>
            <w:r>
              <w:rPr>
                <w:rFonts w:hint="eastAsia" w:ascii="宋体" w:hAnsi="宋体" w:cs="宋体"/>
                <w:sz w:val="18"/>
                <w:szCs w:val="18"/>
              </w:rPr>
              <w:t>集装箱船运输</w:t>
            </w:r>
          </w:p>
          <w:p>
            <w:pPr>
              <w:numPr>
                <w:ilvl w:val="255"/>
                <w:numId w:val="0"/>
              </w:numPr>
              <w:adjustRightInd/>
              <w:snapToGrid w:val="0"/>
              <w:spacing w:line="240" w:lineRule="auto"/>
              <w:jc w:val="center"/>
              <w:rPr>
                <w:rFonts w:ascii="宋体" w:hAnsi="宋体" w:cs="宋体"/>
                <w:sz w:val="18"/>
                <w:szCs w:val="18"/>
              </w:rPr>
            </w:pPr>
            <w:r>
              <w:rPr>
                <w:rFonts w:hint="eastAsia" w:ascii="宋体" w:hAnsi="宋体" w:cs="宋体"/>
                <w:sz w:val="18"/>
                <w:szCs w:val="18"/>
              </w:rPr>
              <w:t>（载重200TEU）</w:t>
            </w:r>
          </w:p>
        </w:tc>
        <w:tc>
          <w:tcPr>
            <w:tcW w:w="1134" w:type="dxa"/>
            <w:shd w:val="clear" w:color="auto" w:fill="auto"/>
            <w:vAlign w:val="center"/>
          </w:tcPr>
          <w:p>
            <w:pPr>
              <w:numPr>
                <w:ilvl w:val="255"/>
                <w:numId w:val="0"/>
              </w:numPr>
              <w:adjustRightInd/>
              <w:snapToGrid w:val="0"/>
              <w:spacing w:line="240" w:lineRule="auto"/>
              <w:ind w:right="210" w:rightChars="100"/>
              <w:jc w:val="right"/>
              <w:rPr>
                <w:rFonts w:ascii="宋体" w:hAnsi="宋体" w:cs="宋体"/>
                <w:sz w:val="18"/>
                <w:szCs w:val="18"/>
              </w:rPr>
            </w:pPr>
            <w:r>
              <w:rPr>
                <w:rFonts w:hint="eastAsia" w:ascii="宋体" w:hAnsi="宋体" w:cs="宋体"/>
                <w:sz w:val="18"/>
                <w:szCs w:val="18"/>
              </w:rPr>
              <w:t>233.00</w:t>
            </w:r>
          </w:p>
        </w:tc>
        <w:tc>
          <w:tcPr>
            <w:tcW w:w="1842" w:type="dxa"/>
            <w:shd w:val="clear" w:color="auto" w:fill="auto"/>
            <w:vAlign w:val="center"/>
          </w:tcPr>
          <w:p>
            <w:pPr>
              <w:numPr>
                <w:ilvl w:val="255"/>
                <w:numId w:val="0"/>
              </w:numPr>
              <w:adjustRightInd/>
              <w:snapToGrid w:val="0"/>
              <w:spacing w:line="240" w:lineRule="auto"/>
              <w:jc w:val="center"/>
              <w:rPr>
                <w:rFonts w:ascii="宋体" w:hAnsi="宋体" w:cs="宋体"/>
                <w:sz w:val="18"/>
                <w:szCs w:val="18"/>
              </w:rPr>
            </w:pPr>
            <w:r>
              <w:rPr>
                <w:rFonts w:hint="eastAsia" w:ascii="宋体" w:hAnsi="宋体" w:cs="宋体"/>
                <w:sz w:val="18"/>
                <w:szCs w:val="18"/>
              </w:rPr>
              <w:t>0.012</w:t>
            </w:r>
          </w:p>
        </w:tc>
        <w:tc>
          <w:tcPr>
            <w:tcW w:w="1302" w:type="dxa"/>
            <w:shd w:val="clear" w:color="auto" w:fill="auto"/>
            <w:vAlign w:val="center"/>
          </w:tcPr>
          <w:p>
            <w:pPr>
              <w:numPr>
                <w:ilvl w:val="255"/>
                <w:numId w:val="0"/>
              </w:numPr>
              <w:adjustRightInd/>
              <w:snapToGrid w:val="0"/>
              <w:spacing w:line="240" w:lineRule="auto"/>
              <w:jc w:val="center"/>
              <w:rPr>
                <w:rFonts w:ascii="宋体" w:hAnsi="宋体" w:cs="宋体"/>
                <w:sz w:val="18"/>
                <w:szCs w:val="18"/>
              </w:rPr>
            </w:pPr>
            <w:r>
              <w:rPr>
                <w:rFonts w:hint="eastAsia" w:ascii="宋体" w:hAnsi="宋体" w:cs="宋体"/>
                <w:sz w:val="18"/>
                <w:szCs w:val="18"/>
              </w:rPr>
              <w:t>2.405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47" w:type="dxa"/>
            <w:shd w:val="clear" w:color="auto" w:fill="auto"/>
            <w:vAlign w:val="center"/>
          </w:tcPr>
          <w:p>
            <w:pPr>
              <w:numPr>
                <w:ilvl w:val="255"/>
                <w:numId w:val="0"/>
              </w:numPr>
              <w:adjustRightInd/>
              <w:snapToGrid w:val="0"/>
              <w:spacing w:line="240" w:lineRule="auto"/>
              <w:jc w:val="center"/>
              <w:rPr>
                <w:rFonts w:ascii="宋体" w:hAnsi="宋体" w:cs="宋体"/>
                <w:sz w:val="18"/>
                <w:szCs w:val="18"/>
              </w:rPr>
            </w:pPr>
            <w:r>
              <w:rPr>
                <w:rFonts w:hint="eastAsia" w:ascii="宋体" w:hAnsi="宋体" w:cs="宋体"/>
                <w:sz w:val="18"/>
                <w:szCs w:val="18"/>
              </w:rPr>
              <w:t>掺合料</w:t>
            </w:r>
          </w:p>
        </w:tc>
        <w:tc>
          <w:tcPr>
            <w:tcW w:w="1417" w:type="dxa"/>
            <w:shd w:val="clear" w:color="auto" w:fill="auto"/>
            <w:vAlign w:val="center"/>
          </w:tcPr>
          <w:p>
            <w:pPr>
              <w:numPr>
                <w:ilvl w:val="255"/>
                <w:numId w:val="0"/>
              </w:numPr>
              <w:adjustRightInd/>
              <w:snapToGrid w:val="0"/>
              <w:spacing w:line="240" w:lineRule="auto"/>
              <w:ind w:right="315" w:rightChars="150"/>
              <w:jc w:val="right"/>
              <w:rPr>
                <w:rFonts w:ascii="宋体" w:hAnsi="宋体" w:cs="宋体"/>
                <w:sz w:val="18"/>
                <w:szCs w:val="18"/>
              </w:rPr>
            </w:pPr>
            <w:r>
              <w:rPr>
                <w:rFonts w:hint="eastAsia" w:ascii="宋体" w:hAnsi="宋体" w:cs="宋体"/>
                <w:sz w:val="18"/>
                <w:szCs w:val="18"/>
              </w:rPr>
              <w:t>5.60</w:t>
            </w:r>
          </w:p>
        </w:tc>
        <w:tc>
          <w:tcPr>
            <w:tcW w:w="1985" w:type="dxa"/>
            <w:shd w:val="clear" w:color="auto" w:fill="auto"/>
            <w:vAlign w:val="center"/>
          </w:tcPr>
          <w:p>
            <w:pPr>
              <w:numPr>
                <w:ilvl w:val="255"/>
                <w:numId w:val="0"/>
              </w:numPr>
              <w:adjustRightInd/>
              <w:snapToGrid w:val="0"/>
              <w:spacing w:line="240" w:lineRule="auto"/>
              <w:jc w:val="center"/>
              <w:rPr>
                <w:rFonts w:ascii="宋体" w:hAnsi="宋体" w:cs="宋体"/>
                <w:sz w:val="18"/>
                <w:szCs w:val="18"/>
              </w:rPr>
            </w:pPr>
            <w:r>
              <w:rPr>
                <w:rFonts w:hint="eastAsia" w:ascii="宋体" w:hAnsi="宋体" w:cs="宋体"/>
                <w:bCs/>
                <w:kern w:val="0"/>
                <w:sz w:val="18"/>
                <w:szCs w:val="18"/>
              </w:rPr>
              <w:t>重型柴油货车运输（载重30t）</w:t>
            </w:r>
          </w:p>
        </w:tc>
        <w:tc>
          <w:tcPr>
            <w:tcW w:w="1134" w:type="dxa"/>
            <w:shd w:val="clear" w:color="auto" w:fill="auto"/>
            <w:vAlign w:val="center"/>
          </w:tcPr>
          <w:p>
            <w:pPr>
              <w:numPr>
                <w:ilvl w:val="255"/>
                <w:numId w:val="0"/>
              </w:numPr>
              <w:adjustRightInd/>
              <w:snapToGrid w:val="0"/>
              <w:spacing w:line="240" w:lineRule="auto"/>
              <w:ind w:right="210" w:rightChars="100"/>
              <w:jc w:val="right"/>
              <w:rPr>
                <w:rFonts w:ascii="宋体" w:hAnsi="宋体" w:cs="宋体"/>
                <w:sz w:val="18"/>
                <w:szCs w:val="18"/>
              </w:rPr>
            </w:pPr>
            <w:r>
              <w:rPr>
                <w:rFonts w:hint="eastAsia" w:ascii="宋体" w:hAnsi="宋体" w:cs="宋体"/>
                <w:sz w:val="18"/>
                <w:szCs w:val="18"/>
              </w:rPr>
              <w:t>47.00</w:t>
            </w:r>
          </w:p>
        </w:tc>
        <w:tc>
          <w:tcPr>
            <w:tcW w:w="1842" w:type="dxa"/>
            <w:shd w:val="clear" w:color="auto" w:fill="auto"/>
            <w:vAlign w:val="center"/>
          </w:tcPr>
          <w:p>
            <w:pPr>
              <w:numPr>
                <w:ilvl w:val="255"/>
                <w:numId w:val="0"/>
              </w:numPr>
              <w:adjustRightInd/>
              <w:snapToGrid w:val="0"/>
              <w:spacing w:line="240" w:lineRule="auto"/>
              <w:jc w:val="center"/>
              <w:rPr>
                <w:rFonts w:ascii="宋体" w:hAnsi="宋体" w:cs="宋体"/>
                <w:sz w:val="18"/>
                <w:szCs w:val="18"/>
              </w:rPr>
            </w:pPr>
            <w:r>
              <w:rPr>
                <w:rFonts w:hint="eastAsia" w:ascii="宋体" w:hAnsi="宋体" w:cs="宋体"/>
                <w:bCs/>
                <w:kern w:val="0"/>
                <w:sz w:val="18"/>
                <w:szCs w:val="18"/>
              </w:rPr>
              <w:t>0.078</w:t>
            </w:r>
          </w:p>
        </w:tc>
        <w:tc>
          <w:tcPr>
            <w:tcW w:w="1302" w:type="dxa"/>
            <w:shd w:val="clear" w:color="auto" w:fill="auto"/>
            <w:vAlign w:val="center"/>
          </w:tcPr>
          <w:p>
            <w:pPr>
              <w:widowControl/>
              <w:numPr>
                <w:ilvl w:val="255"/>
                <w:numId w:val="0"/>
              </w:numPr>
              <w:adjustRightInd/>
              <w:snapToGrid w:val="0"/>
              <w:spacing w:line="240" w:lineRule="auto"/>
              <w:jc w:val="center"/>
              <w:rPr>
                <w:rFonts w:ascii="宋体" w:hAnsi="宋体" w:cs="宋体"/>
                <w:color w:val="000000"/>
                <w:kern w:val="0"/>
                <w:sz w:val="18"/>
                <w:szCs w:val="18"/>
              </w:rPr>
            </w:pPr>
            <w:r>
              <w:rPr>
                <w:rFonts w:hint="eastAsia" w:ascii="宋体" w:hAnsi="宋体" w:cs="宋体"/>
                <w:color w:val="000000"/>
                <w:sz w:val="18"/>
                <w:szCs w:val="18"/>
              </w:rPr>
              <w:t>0.021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47" w:type="dxa"/>
            <w:shd w:val="clear" w:color="auto" w:fill="auto"/>
            <w:vAlign w:val="center"/>
          </w:tcPr>
          <w:p>
            <w:pPr>
              <w:numPr>
                <w:ilvl w:val="255"/>
                <w:numId w:val="0"/>
              </w:numPr>
              <w:adjustRightInd/>
              <w:snapToGrid w:val="0"/>
              <w:spacing w:line="240" w:lineRule="auto"/>
              <w:jc w:val="center"/>
              <w:rPr>
                <w:rFonts w:ascii="宋体" w:hAnsi="宋体" w:cs="宋体"/>
                <w:sz w:val="18"/>
                <w:szCs w:val="18"/>
              </w:rPr>
            </w:pPr>
            <w:r>
              <w:rPr>
                <w:rFonts w:hint="eastAsia" w:ascii="宋体" w:hAnsi="宋体" w:cs="宋体"/>
                <w:sz w:val="18"/>
                <w:szCs w:val="18"/>
              </w:rPr>
              <w:t>其他</w:t>
            </w:r>
          </w:p>
        </w:tc>
        <w:tc>
          <w:tcPr>
            <w:tcW w:w="1417" w:type="dxa"/>
            <w:shd w:val="clear" w:color="auto" w:fill="auto"/>
            <w:vAlign w:val="center"/>
          </w:tcPr>
          <w:p>
            <w:pPr>
              <w:numPr>
                <w:ilvl w:val="255"/>
                <w:numId w:val="0"/>
              </w:numPr>
              <w:adjustRightInd/>
              <w:snapToGrid w:val="0"/>
              <w:spacing w:line="240" w:lineRule="auto"/>
              <w:ind w:right="315" w:rightChars="150"/>
              <w:jc w:val="right"/>
              <w:rPr>
                <w:rFonts w:ascii="宋体" w:hAnsi="宋体" w:cs="宋体"/>
                <w:sz w:val="18"/>
                <w:szCs w:val="18"/>
              </w:rPr>
            </w:pPr>
            <w:r>
              <w:rPr>
                <w:rFonts w:hint="eastAsia" w:ascii="宋体" w:hAnsi="宋体" w:cs="宋体"/>
                <w:sz w:val="18"/>
                <w:szCs w:val="18"/>
              </w:rPr>
              <w:t>50.00</w:t>
            </w:r>
          </w:p>
        </w:tc>
        <w:tc>
          <w:tcPr>
            <w:tcW w:w="1985" w:type="dxa"/>
            <w:shd w:val="clear" w:color="auto" w:fill="auto"/>
            <w:vAlign w:val="center"/>
          </w:tcPr>
          <w:p>
            <w:pPr>
              <w:numPr>
                <w:ilvl w:val="255"/>
                <w:numId w:val="0"/>
              </w:numPr>
              <w:adjustRightInd/>
              <w:snapToGrid w:val="0"/>
              <w:spacing w:line="240" w:lineRule="auto"/>
              <w:jc w:val="center"/>
              <w:rPr>
                <w:rFonts w:ascii="宋体" w:hAnsi="宋体" w:cs="宋体"/>
                <w:sz w:val="18"/>
                <w:szCs w:val="18"/>
              </w:rPr>
            </w:pPr>
            <w:r>
              <w:rPr>
                <w:rFonts w:hint="eastAsia" w:ascii="宋体" w:hAnsi="宋体" w:cs="宋体"/>
                <w:bCs/>
                <w:kern w:val="0"/>
                <w:sz w:val="18"/>
                <w:szCs w:val="18"/>
              </w:rPr>
              <w:t>重型柴油货车运输（载重30t）</w:t>
            </w:r>
          </w:p>
        </w:tc>
        <w:tc>
          <w:tcPr>
            <w:tcW w:w="1134" w:type="dxa"/>
            <w:shd w:val="clear" w:color="auto" w:fill="auto"/>
            <w:vAlign w:val="center"/>
          </w:tcPr>
          <w:p>
            <w:pPr>
              <w:numPr>
                <w:ilvl w:val="255"/>
                <w:numId w:val="0"/>
              </w:numPr>
              <w:adjustRightInd/>
              <w:snapToGrid w:val="0"/>
              <w:spacing w:line="240" w:lineRule="auto"/>
              <w:ind w:right="210" w:rightChars="100"/>
              <w:jc w:val="right"/>
              <w:rPr>
                <w:rFonts w:ascii="宋体" w:hAnsi="宋体" w:cs="宋体"/>
                <w:sz w:val="18"/>
                <w:szCs w:val="18"/>
              </w:rPr>
            </w:pPr>
            <w:r>
              <w:rPr>
                <w:rFonts w:hint="eastAsia" w:ascii="宋体" w:hAnsi="宋体" w:cs="宋体"/>
                <w:sz w:val="18"/>
                <w:szCs w:val="18"/>
              </w:rPr>
              <w:t>36.30</w:t>
            </w:r>
          </w:p>
        </w:tc>
        <w:tc>
          <w:tcPr>
            <w:tcW w:w="1842" w:type="dxa"/>
            <w:shd w:val="clear" w:color="auto" w:fill="auto"/>
            <w:vAlign w:val="center"/>
          </w:tcPr>
          <w:p>
            <w:pPr>
              <w:numPr>
                <w:ilvl w:val="255"/>
                <w:numId w:val="0"/>
              </w:numPr>
              <w:adjustRightInd/>
              <w:snapToGrid w:val="0"/>
              <w:spacing w:line="240" w:lineRule="auto"/>
              <w:jc w:val="center"/>
              <w:rPr>
                <w:rFonts w:ascii="宋体" w:hAnsi="宋体" w:cs="宋体"/>
                <w:sz w:val="18"/>
                <w:szCs w:val="18"/>
              </w:rPr>
            </w:pPr>
            <w:r>
              <w:rPr>
                <w:rFonts w:hint="eastAsia" w:ascii="宋体" w:hAnsi="宋体" w:cs="宋体"/>
                <w:bCs/>
                <w:kern w:val="0"/>
                <w:sz w:val="18"/>
                <w:szCs w:val="18"/>
              </w:rPr>
              <w:t>0.078</w:t>
            </w:r>
          </w:p>
        </w:tc>
        <w:tc>
          <w:tcPr>
            <w:tcW w:w="1302" w:type="dxa"/>
            <w:shd w:val="clear" w:color="auto" w:fill="auto"/>
            <w:vAlign w:val="center"/>
          </w:tcPr>
          <w:p>
            <w:pPr>
              <w:widowControl/>
              <w:numPr>
                <w:ilvl w:val="255"/>
                <w:numId w:val="0"/>
              </w:numPr>
              <w:adjustRightInd/>
              <w:snapToGrid w:val="0"/>
              <w:spacing w:line="240" w:lineRule="auto"/>
              <w:jc w:val="center"/>
              <w:rPr>
                <w:rFonts w:ascii="宋体" w:hAnsi="宋体" w:cs="宋体"/>
                <w:color w:val="000000"/>
                <w:kern w:val="0"/>
                <w:sz w:val="18"/>
                <w:szCs w:val="18"/>
              </w:rPr>
            </w:pPr>
            <w:r>
              <w:rPr>
                <w:rFonts w:hint="eastAsia" w:ascii="宋体" w:hAnsi="宋体" w:cs="宋体"/>
                <w:color w:val="000000"/>
                <w:sz w:val="18"/>
                <w:szCs w:val="18"/>
              </w:rPr>
              <w:t>0.142</w:t>
            </w:r>
          </w:p>
        </w:tc>
      </w:tr>
    </w:tbl>
    <w:p>
      <w:pPr>
        <w:pStyle w:val="213"/>
        <w:numPr>
          <w:ilvl w:val="1"/>
          <w:numId w:val="0"/>
        </w:numPr>
        <w:rPr>
          <w:rFonts w:hAnsi="宋体" w:cs="宋体"/>
          <w:szCs w:val="21"/>
        </w:rPr>
      </w:pPr>
    </w:p>
    <w:p>
      <w:pPr>
        <w:pStyle w:val="213"/>
        <w:rPr>
          <w:rFonts w:hAnsi="宋体" w:cs="宋体"/>
          <w:szCs w:val="21"/>
        </w:rPr>
      </w:pPr>
      <w:r>
        <w:rPr>
          <w:rFonts w:hint="eastAsia"/>
        </w:rPr>
        <w:t>机械设备能源资源消耗碳排放量计算</w:t>
      </w:r>
      <w:r>
        <w:rPr>
          <w:rFonts w:hint="eastAsia"/>
          <w:lang w:val="en-US" w:eastAsia="zh-CN"/>
        </w:rPr>
        <w:t>如下：</w:t>
      </w:r>
    </w:p>
    <w:p>
      <w:pPr>
        <w:pStyle w:val="159"/>
        <w:ind w:firstLine="420" w:firstLineChars="200"/>
        <w:rPr>
          <w:rFonts w:cs="宋体"/>
          <w:bCs/>
          <w:szCs w:val="21"/>
        </w:rPr>
      </w:pPr>
      <w:r>
        <w:rPr>
          <w:rFonts w:hint="eastAsia" w:cs="宋体"/>
          <w:szCs w:val="21"/>
        </w:rPr>
        <w:t>采集2022年7月至2023年6月混凝土生产厂区的能源资源消耗及产量情况，统计数据显示该时间段内共生产各类型号预拌混凝土640289立方米（</w:t>
      </w:r>
      <m:oMath>
        <m:r>
          <m:rPr/>
          <w:rPr>
            <w:rFonts w:hint="eastAsia" w:ascii="Cambria Math" w:hAnsi="Cambria Math" w:cs="宋体"/>
            <w:szCs w:val="21"/>
          </w:rPr>
          <m:t>Q</m:t>
        </m:r>
      </m:oMath>
      <w:r>
        <w:rPr>
          <w:rFonts w:hint="eastAsia" w:cs="宋体"/>
          <w:szCs w:val="21"/>
        </w:rPr>
        <w:t>），电量消耗15366934 kw·h（</w:t>
      </w:r>
      <m:oMath>
        <m:sSub>
          <m:sSubPr>
            <m:ctrlPr>
              <w:rPr>
                <w:rFonts w:hint="eastAsia" w:ascii="Cambria Math" w:hAnsi="Cambria Math" w:cs="宋体"/>
                <w:szCs w:val="21"/>
              </w:rPr>
            </m:ctrlPr>
          </m:sSubPr>
          <m:e>
            <m:r>
              <m:rPr/>
              <w:rPr>
                <w:rFonts w:hint="eastAsia" w:ascii="Cambria Math" w:hAnsi="Cambria Math" w:cs="宋体"/>
                <w:szCs w:val="21"/>
              </w:rPr>
              <m:t>AD</m:t>
            </m:r>
            <m:ctrlPr>
              <w:rPr>
                <w:rFonts w:hint="eastAsia" w:ascii="Cambria Math" w:hAnsi="Cambria Math" w:cs="宋体"/>
                <w:szCs w:val="21"/>
              </w:rPr>
            </m:ctrlPr>
          </m:e>
          <m:sub>
            <m:r>
              <m:rPr/>
              <w:rPr>
                <w:rFonts w:hint="eastAsia" w:ascii="Cambria Math" w:hAnsi="Cambria Math" w:cs="宋体"/>
                <w:szCs w:val="21"/>
              </w:rPr>
              <m:t>1</m:t>
            </m:r>
            <m:r>
              <m:rPr>
                <m:sty m:val="p"/>
              </m:rPr>
              <w:rPr>
                <w:rFonts w:hint="eastAsia" w:ascii="Cambria Math" w:hAnsi="Cambria Math" w:cs="宋体"/>
                <w:szCs w:val="21"/>
              </w:rPr>
              <m:t xml:space="preserve">, </m:t>
            </m:r>
            <m:r>
              <m:rPr/>
              <w:rPr>
                <w:rFonts w:hint="eastAsia" w:ascii="Cambria Math" w:hAnsi="Cambria Math" w:cs="宋体"/>
                <w:szCs w:val="21"/>
              </w:rPr>
              <m:t>z</m:t>
            </m:r>
            <m:ctrlPr>
              <w:rPr>
                <w:rFonts w:hint="eastAsia" w:ascii="Cambria Math" w:hAnsi="Cambria Math" w:cs="宋体"/>
                <w:szCs w:val="21"/>
              </w:rPr>
            </m:ctrlPr>
          </m:sub>
        </m:sSub>
      </m:oMath>
      <w:r>
        <w:rPr>
          <w:rFonts w:hint="eastAsia" w:cs="宋体"/>
          <w:szCs w:val="21"/>
        </w:rPr>
        <w:t>），汽油消耗192087 kg（</w:t>
      </w:r>
      <m:oMath>
        <m:sSub>
          <m:sSubPr>
            <m:ctrlPr>
              <w:rPr>
                <w:rFonts w:hint="eastAsia" w:ascii="Cambria Math" w:hAnsi="Cambria Math" w:cs="宋体"/>
                <w:szCs w:val="21"/>
              </w:rPr>
            </m:ctrlPr>
          </m:sSubPr>
          <m:e>
            <m:r>
              <m:rPr/>
              <w:rPr>
                <w:rFonts w:hint="eastAsia" w:ascii="Cambria Math" w:hAnsi="Cambria Math" w:cs="宋体"/>
                <w:szCs w:val="21"/>
              </w:rPr>
              <m:t>AD</m:t>
            </m:r>
            <m:ctrlPr>
              <w:rPr>
                <w:rFonts w:hint="eastAsia" w:ascii="Cambria Math" w:hAnsi="Cambria Math" w:cs="宋体"/>
                <w:szCs w:val="21"/>
              </w:rPr>
            </m:ctrlPr>
          </m:e>
          <m:sub>
            <m:r>
              <m:rPr/>
              <w:rPr>
                <w:rFonts w:hint="eastAsia" w:ascii="Cambria Math" w:hAnsi="Cambria Math" w:cs="宋体"/>
                <w:szCs w:val="21"/>
              </w:rPr>
              <m:t>2</m:t>
            </m:r>
            <m:r>
              <m:rPr>
                <m:sty m:val="p"/>
              </m:rPr>
              <w:rPr>
                <w:rFonts w:hint="eastAsia" w:ascii="Cambria Math" w:hAnsi="Cambria Math" w:cs="宋体"/>
                <w:szCs w:val="21"/>
              </w:rPr>
              <m:t xml:space="preserve">, </m:t>
            </m:r>
            <m:r>
              <m:rPr/>
              <w:rPr>
                <w:rFonts w:hint="eastAsia" w:ascii="Cambria Math" w:hAnsi="Cambria Math" w:cs="宋体"/>
                <w:szCs w:val="21"/>
              </w:rPr>
              <m:t>z</m:t>
            </m:r>
            <m:ctrlPr>
              <w:rPr>
                <w:rFonts w:hint="eastAsia" w:ascii="Cambria Math" w:hAnsi="Cambria Math" w:cs="宋体"/>
                <w:szCs w:val="21"/>
              </w:rPr>
            </m:ctrlPr>
          </m:sub>
        </m:sSub>
      </m:oMath>
      <w:r>
        <w:rPr>
          <w:rFonts w:hint="eastAsia" w:cs="宋体"/>
          <w:szCs w:val="21"/>
        </w:rPr>
        <w:t>），则每立方米预拌混凝土生产的电能消耗量为2.4</w:t>
      </w:r>
      <w:r>
        <w:rPr>
          <w:rFonts w:cs="宋体"/>
          <w:szCs w:val="21"/>
        </w:rPr>
        <w:t>0</w:t>
      </w:r>
      <w:r>
        <w:rPr>
          <w:rFonts w:hint="eastAsia" w:cs="宋体"/>
          <w:szCs w:val="21"/>
        </w:rPr>
        <w:t xml:space="preserve"> kw·h（</w:t>
      </w:r>
      <m:oMath>
        <m:sSub>
          <m:sSubPr>
            <m:ctrlPr>
              <w:rPr>
                <w:rFonts w:hint="eastAsia" w:ascii="Cambria Math" w:hAnsi="Cambria Math" w:cs="宋体"/>
                <w:szCs w:val="21"/>
              </w:rPr>
            </m:ctrlPr>
          </m:sSubPr>
          <m:e>
            <m:r>
              <m:rPr/>
              <w:rPr>
                <w:rFonts w:hint="eastAsia" w:ascii="Cambria Math" w:hAnsi="Cambria Math" w:cs="宋体"/>
                <w:szCs w:val="21"/>
              </w:rPr>
              <m:t>AD</m:t>
            </m:r>
            <m:ctrlPr>
              <w:rPr>
                <w:rFonts w:hint="eastAsia" w:ascii="Cambria Math" w:hAnsi="Cambria Math" w:cs="宋体"/>
                <w:szCs w:val="21"/>
              </w:rPr>
            </m:ctrlPr>
          </m:e>
          <m:sub>
            <m:r>
              <m:rPr/>
              <w:rPr>
                <w:rFonts w:hint="eastAsia" w:ascii="Cambria Math" w:hAnsi="Cambria Math" w:cs="宋体"/>
                <w:szCs w:val="21"/>
              </w:rPr>
              <m:t>1</m:t>
            </m:r>
            <m:ctrlPr>
              <w:rPr>
                <w:rFonts w:hint="eastAsia" w:ascii="Cambria Math" w:hAnsi="Cambria Math" w:cs="宋体"/>
                <w:szCs w:val="21"/>
              </w:rPr>
            </m:ctrlPr>
          </m:sub>
        </m:sSub>
      </m:oMath>
      <w:r>
        <w:rPr>
          <w:rFonts w:hint="eastAsia" w:cs="宋体"/>
          <w:szCs w:val="21"/>
        </w:rPr>
        <w:t>），汽油消耗量为0.3</w:t>
      </w:r>
      <w:r>
        <w:rPr>
          <w:rFonts w:cs="宋体"/>
          <w:szCs w:val="21"/>
        </w:rPr>
        <w:t>0</w:t>
      </w:r>
      <w:r>
        <w:rPr>
          <w:rFonts w:hint="eastAsia" w:cs="宋体"/>
          <w:szCs w:val="21"/>
        </w:rPr>
        <w:t xml:space="preserve"> kg（</w:t>
      </w:r>
      <m:oMath>
        <m:sSub>
          <m:sSubPr>
            <m:ctrlPr>
              <w:rPr>
                <w:rFonts w:hint="eastAsia" w:ascii="Cambria Math" w:hAnsi="Cambria Math" w:cs="宋体"/>
                <w:szCs w:val="21"/>
              </w:rPr>
            </m:ctrlPr>
          </m:sSubPr>
          <m:e>
            <m:r>
              <m:rPr/>
              <w:rPr>
                <w:rFonts w:hint="eastAsia" w:ascii="Cambria Math" w:hAnsi="Cambria Math" w:cs="宋体"/>
                <w:szCs w:val="21"/>
              </w:rPr>
              <m:t>AD</m:t>
            </m:r>
            <m:ctrlPr>
              <w:rPr>
                <w:rFonts w:hint="eastAsia" w:ascii="Cambria Math" w:hAnsi="Cambria Math" w:cs="宋体"/>
                <w:szCs w:val="21"/>
              </w:rPr>
            </m:ctrlPr>
          </m:e>
          <m:sub>
            <m:r>
              <m:rPr/>
              <w:rPr>
                <w:rFonts w:hint="eastAsia" w:ascii="Cambria Math" w:hAnsi="Cambria Math" w:cs="宋体"/>
                <w:szCs w:val="21"/>
              </w:rPr>
              <m:t>2</m:t>
            </m:r>
            <m:ctrlPr>
              <w:rPr>
                <w:rFonts w:hint="eastAsia" w:ascii="Cambria Math" w:hAnsi="Cambria Math" w:cs="宋体"/>
                <w:szCs w:val="21"/>
              </w:rPr>
            </m:ctrlPr>
          </m:sub>
        </m:sSub>
      </m:oMath>
      <w:r>
        <w:rPr>
          <w:rFonts w:hint="eastAsia" w:cs="宋体"/>
          <w:szCs w:val="21"/>
        </w:rPr>
        <w:t>）</w:t>
      </w:r>
      <w:r>
        <w:rPr>
          <w:rFonts w:hint="eastAsia" w:cs="宋体"/>
          <w:bCs/>
          <w:szCs w:val="21"/>
        </w:rPr>
        <w:t>。根据公式（</w:t>
      </w:r>
      <w:r>
        <w:rPr>
          <w:rFonts w:cs="宋体"/>
          <w:bCs/>
          <w:szCs w:val="21"/>
        </w:rPr>
        <w:t>6</w:t>
      </w:r>
      <w:r>
        <w:rPr>
          <w:rFonts w:hint="eastAsia" w:cs="宋体"/>
          <w:bCs/>
          <w:szCs w:val="21"/>
        </w:rPr>
        <w:t>）的说明，查得汽油的低位发热量为44.8</w:t>
      </w:r>
      <w:r>
        <w:rPr>
          <w:rFonts w:cs="宋体"/>
          <w:bCs/>
          <w:szCs w:val="21"/>
        </w:rPr>
        <w:t>0</w:t>
      </w:r>
      <w:r>
        <w:rPr>
          <w:rFonts w:hint="eastAsia" w:cs="宋体"/>
          <w:bCs/>
          <w:szCs w:val="21"/>
        </w:rPr>
        <w:t xml:space="preserve"> GJ/t，则根据式（</w:t>
      </w:r>
      <w:r>
        <w:rPr>
          <w:rFonts w:cs="宋体"/>
          <w:bCs/>
          <w:szCs w:val="21"/>
        </w:rPr>
        <w:t>6</w:t>
      </w:r>
      <w:r>
        <w:rPr>
          <w:rFonts w:hint="eastAsia" w:cs="宋体"/>
          <w:bCs/>
          <w:szCs w:val="21"/>
        </w:rPr>
        <w:t>）计算得汽油的碳排放因子为</w:t>
      </w:r>
      <m:oMath>
        <m:sSub>
          <m:sSubPr>
            <m:ctrlPr>
              <w:rPr>
                <w:rFonts w:hint="eastAsia" w:ascii="Cambria Math" w:hAnsi="Cambria Math" w:cs="宋体"/>
                <w:i/>
                <w:szCs w:val="21"/>
              </w:rPr>
            </m:ctrlPr>
          </m:sSubPr>
          <m:e>
            <m:r>
              <m:rPr/>
              <w:rPr>
                <w:rFonts w:hint="eastAsia" w:ascii="Cambria Math" w:hAnsi="Cambria Math" w:cs="宋体"/>
                <w:szCs w:val="21"/>
              </w:rPr>
              <m:t>EF</m:t>
            </m:r>
            <m:ctrlPr>
              <w:rPr>
                <w:rFonts w:hint="eastAsia" w:ascii="Cambria Math" w:hAnsi="Cambria Math" w:cs="宋体"/>
                <w:i/>
                <w:szCs w:val="21"/>
              </w:rPr>
            </m:ctrlPr>
          </m:e>
          <m:sub>
            <m:r>
              <m:rPr/>
              <w:rPr>
                <w:rFonts w:hint="eastAsia" w:ascii="Cambria Math" w:hAnsi="Cambria Math" w:cs="宋体"/>
                <w:szCs w:val="21"/>
              </w:rPr>
              <m:t>1</m:t>
            </m:r>
            <m:ctrlPr>
              <w:rPr>
                <w:rFonts w:hint="eastAsia" w:ascii="Cambria Math" w:hAnsi="Cambria Math" w:cs="宋体"/>
                <w:i/>
                <w:szCs w:val="21"/>
              </w:rPr>
            </m:ctrlPr>
          </m:sub>
        </m:sSub>
        <m:r>
          <m:rPr/>
          <w:rPr>
            <w:rFonts w:hint="eastAsia" w:ascii="Cambria Math" w:hAnsi="Cambria Math" w:cs="宋体"/>
            <w:szCs w:val="21"/>
          </w:rPr>
          <m:t>=</m:t>
        </m:r>
      </m:oMath>
      <w:r>
        <w:rPr>
          <w:rFonts w:hint="eastAsia" w:cs="宋体"/>
          <w:bCs/>
          <w:szCs w:val="21"/>
        </w:rPr>
        <w:t>44.8</w:t>
      </w:r>
      <w:r>
        <w:rPr>
          <w:rFonts w:cs="宋体"/>
          <w:bCs/>
          <w:szCs w:val="21"/>
        </w:rPr>
        <w:t>0</w:t>
      </w:r>
      <w:r>
        <w:rPr>
          <w:rFonts w:hint="eastAsia" w:cs="宋体"/>
          <w:bCs/>
          <w:szCs w:val="21"/>
        </w:rPr>
        <w:t>×67.91/1000=3.04</w:t>
      </w:r>
      <w:r>
        <w:rPr>
          <w:rFonts w:hint="eastAsia" w:cs="宋体"/>
          <w:szCs w:val="21"/>
        </w:rPr>
        <w:t xml:space="preserve"> kgCO</w:t>
      </w:r>
      <w:r>
        <w:rPr>
          <w:rFonts w:hint="eastAsia" w:cs="宋体"/>
          <w:szCs w:val="21"/>
          <w:vertAlign w:val="subscript"/>
        </w:rPr>
        <w:t>2</w:t>
      </w:r>
      <w:r>
        <w:rPr>
          <w:rFonts w:hint="eastAsia" w:cs="宋体"/>
          <w:szCs w:val="21"/>
        </w:rPr>
        <w:t>e/kg，电力碳排放因子为0.57 kgCO</w:t>
      </w:r>
      <w:r>
        <w:rPr>
          <w:rFonts w:hint="eastAsia" w:cs="宋体"/>
          <w:szCs w:val="21"/>
          <w:vertAlign w:val="subscript"/>
        </w:rPr>
        <w:t>2</w:t>
      </w:r>
      <w:r>
        <w:rPr>
          <w:rFonts w:hint="eastAsia" w:cs="宋体"/>
          <w:szCs w:val="21"/>
        </w:rPr>
        <w:t>e/kw·h</w:t>
      </w:r>
      <w:r>
        <w:rPr>
          <w:rFonts w:hint="eastAsia" w:cs="宋体"/>
          <w:bCs/>
          <w:szCs w:val="21"/>
        </w:rPr>
        <w:t>。根据公式（</w:t>
      </w:r>
      <w:r>
        <w:rPr>
          <w:rFonts w:cs="宋体"/>
          <w:bCs/>
          <w:szCs w:val="21"/>
        </w:rPr>
        <w:t>5</w:t>
      </w:r>
      <w:r>
        <w:rPr>
          <w:rFonts w:hint="eastAsia" w:cs="宋体"/>
          <w:bCs/>
          <w:szCs w:val="21"/>
        </w:rPr>
        <w:t>）、（</w:t>
      </w:r>
      <w:r>
        <w:rPr>
          <w:rFonts w:cs="宋体"/>
          <w:bCs/>
          <w:szCs w:val="21"/>
        </w:rPr>
        <w:t>6</w:t>
      </w:r>
      <w:r>
        <w:rPr>
          <w:rFonts w:hint="eastAsia" w:cs="宋体"/>
          <w:bCs/>
          <w:szCs w:val="21"/>
        </w:rPr>
        <w:t>）、（</w:t>
      </w:r>
      <w:r>
        <w:rPr>
          <w:rFonts w:cs="宋体"/>
          <w:bCs/>
          <w:szCs w:val="21"/>
        </w:rPr>
        <w:t>7</w:t>
      </w:r>
      <w:r>
        <w:rPr>
          <w:rFonts w:hint="eastAsia" w:cs="宋体"/>
          <w:bCs/>
          <w:szCs w:val="21"/>
        </w:rPr>
        <w:t>）计算单位产品预拌混凝土因消耗化石燃料和电力而产生的碳排放值，计算结果如表</w:t>
      </w:r>
      <w:r>
        <w:rPr>
          <w:rFonts w:cs="宋体"/>
          <w:bCs/>
          <w:szCs w:val="21"/>
        </w:rPr>
        <w:t>8</w:t>
      </w:r>
      <w:r>
        <w:rPr>
          <w:rFonts w:hint="eastAsia" w:cs="宋体"/>
          <w:bCs/>
          <w:szCs w:val="21"/>
        </w:rPr>
        <w:t>所示。根据公式（</w:t>
      </w:r>
      <w:r>
        <w:rPr>
          <w:rFonts w:cs="宋体"/>
          <w:bCs/>
          <w:szCs w:val="21"/>
        </w:rPr>
        <w:t>4</w:t>
      </w:r>
      <w:r>
        <w:rPr>
          <w:rFonts w:hint="eastAsia" w:cs="宋体"/>
          <w:bCs/>
          <w:szCs w:val="21"/>
        </w:rPr>
        <w:t>）计算案例预拌混凝土单位产品因消耗能源资源产生的碳排放量</w:t>
      </w:r>
      <m:oMath>
        <m:sSub>
          <m:sSubPr>
            <m:ctrlPr>
              <w:rPr>
                <w:rFonts w:hint="eastAsia" w:ascii="Cambria Math" w:hAnsi="Cambria Math" w:cs="宋体"/>
                <w:i/>
                <w:szCs w:val="21"/>
              </w:rPr>
            </m:ctrlPr>
          </m:sSubPr>
          <m:e>
            <m:r>
              <m:rPr/>
              <w:rPr>
                <w:rFonts w:hint="eastAsia" w:ascii="Cambria Math" w:hAnsi="Cambria Math" w:cs="宋体"/>
                <w:szCs w:val="21"/>
              </w:rPr>
              <m:t>C</m:t>
            </m:r>
            <m:ctrlPr>
              <w:rPr>
                <w:rFonts w:hint="eastAsia" w:ascii="Cambria Math" w:hAnsi="Cambria Math" w:cs="宋体"/>
                <w:i/>
                <w:szCs w:val="21"/>
              </w:rPr>
            </m:ctrlPr>
          </m:e>
          <m:sub>
            <m:r>
              <m:rPr/>
              <w:rPr>
                <w:rFonts w:hint="eastAsia" w:ascii="Cambria Math" w:hAnsi="Cambria Math" w:cs="宋体"/>
                <w:szCs w:val="21"/>
              </w:rPr>
              <m:t>3</m:t>
            </m:r>
            <m:ctrlPr>
              <w:rPr>
                <w:rFonts w:hint="eastAsia" w:ascii="Cambria Math" w:hAnsi="Cambria Math" w:cs="宋体"/>
                <w:i/>
                <w:szCs w:val="21"/>
              </w:rPr>
            </m:ctrlPr>
          </m:sub>
        </m:sSub>
      </m:oMath>
      <w:r>
        <w:rPr>
          <w:rFonts w:hint="eastAsia" w:cs="宋体"/>
          <w:bCs/>
          <w:szCs w:val="21"/>
        </w:rPr>
        <w:t>，为2.28 kgCO</w:t>
      </w:r>
      <w:r>
        <w:rPr>
          <w:rFonts w:hint="eastAsia" w:cs="宋体"/>
          <w:bCs/>
          <w:szCs w:val="21"/>
          <w:vertAlign w:val="subscript"/>
        </w:rPr>
        <w:t>2</w:t>
      </w:r>
      <w:r>
        <w:rPr>
          <w:rFonts w:hint="eastAsia" w:cs="宋体"/>
          <w:bCs/>
          <w:szCs w:val="21"/>
        </w:rPr>
        <w:t>e。</w:t>
      </w:r>
    </w:p>
    <w:p>
      <w:pPr>
        <w:numPr>
          <w:ilvl w:val="255"/>
          <w:numId w:val="0"/>
        </w:numPr>
        <w:adjustRightInd/>
        <w:spacing w:before="156" w:beforeLines="50" w:after="156" w:afterLines="50"/>
        <w:jc w:val="center"/>
        <w:rPr>
          <w:rFonts w:ascii="黑体" w:hAnsi="黑体" w:eastAsia="黑体" w:cs="宋体"/>
          <w:b/>
        </w:rPr>
      </w:pPr>
      <w:r>
        <w:rPr>
          <w:rFonts w:hint="eastAsia" w:ascii="黑体" w:hAnsi="黑体" w:eastAsia="黑体" w:cs="宋体"/>
          <w:bCs/>
        </w:rPr>
        <w:t>表</w:t>
      </w:r>
      <w:r>
        <w:rPr>
          <w:rFonts w:ascii="黑体" w:hAnsi="黑体" w:eastAsia="黑体" w:cs="宋体"/>
          <w:bCs/>
        </w:rPr>
        <w:t>8</w:t>
      </w:r>
      <w:r>
        <w:rPr>
          <w:rFonts w:hint="eastAsia" w:ascii="黑体" w:hAnsi="黑体" w:eastAsia="黑体" w:cs="宋体"/>
          <w:bCs/>
        </w:rPr>
        <w:t xml:space="preserve"> 案例预拌混凝土单位产品因消耗能源资源产生的碳排放量计算</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2600"/>
        <w:gridCol w:w="2847"/>
        <w:gridCol w:w="216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82" w:type="dxa"/>
            <w:tcBorders>
              <w:top w:val="single" w:color="auto" w:sz="8" w:space="0"/>
              <w:bottom w:val="single" w:color="auto" w:sz="8" w:space="0"/>
            </w:tcBorders>
            <w:shd w:val="clear" w:color="auto" w:fill="auto"/>
            <w:vAlign w:val="center"/>
          </w:tcPr>
          <w:p>
            <w:pPr>
              <w:numPr>
                <w:ilvl w:val="255"/>
                <w:numId w:val="0"/>
              </w:numPr>
              <w:adjustRightInd/>
              <w:spacing w:line="240" w:lineRule="auto"/>
              <w:jc w:val="center"/>
              <w:rPr>
                <w:rFonts w:ascii="宋体" w:hAnsi="宋体" w:cs="宋体"/>
                <w:sz w:val="18"/>
                <w:szCs w:val="18"/>
              </w:rPr>
            </w:pPr>
            <w:r>
              <w:rPr>
                <w:rFonts w:hint="eastAsia" w:ascii="宋体" w:hAnsi="宋体" w:cs="宋体"/>
                <w:sz w:val="18"/>
                <w:szCs w:val="18"/>
              </w:rPr>
              <w:t>能源种类</w:t>
            </w:r>
          </w:p>
        </w:tc>
        <w:tc>
          <w:tcPr>
            <w:tcW w:w="2600" w:type="dxa"/>
            <w:tcBorders>
              <w:top w:val="single" w:color="auto" w:sz="8" w:space="0"/>
              <w:bottom w:val="single" w:color="auto" w:sz="8" w:space="0"/>
            </w:tcBorders>
            <w:shd w:val="clear" w:color="auto" w:fill="auto"/>
            <w:vAlign w:val="center"/>
          </w:tcPr>
          <w:p>
            <w:pPr>
              <w:numPr>
                <w:ilvl w:val="255"/>
                <w:numId w:val="0"/>
              </w:numPr>
              <w:adjustRightInd/>
              <w:spacing w:line="240" w:lineRule="auto"/>
              <w:jc w:val="center"/>
              <w:rPr>
                <w:rFonts w:ascii="宋体" w:hAnsi="宋体" w:cs="宋体"/>
                <w:sz w:val="18"/>
                <w:szCs w:val="18"/>
              </w:rPr>
            </w:pPr>
            <w:r>
              <w:rPr>
                <w:rFonts w:hint="eastAsia" w:ascii="宋体" w:hAnsi="宋体" w:cs="宋体"/>
                <w:sz w:val="18"/>
                <w:szCs w:val="18"/>
              </w:rPr>
              <w:t>单位产品预拌混凝土的能源消耗量</w:t>
            </w:r>
            <m:oMath>
              <m:sSub>
                <m:sSubPr>
                  <m:ctrlPr>
                    <w:rPr>
                      <w:rFonts w:hint="eastAsia" w:ascii="Cambria Math" w:hAnsi="Cambria Math" w:cs="宋体"/>
                      <w:kern w:val="0"/>
                      <w:sz w:val="18"/>
                      <w:szCs w:val="18"/>
                    </w:rPr>
                  </m:ctrlPr>
                </m:sSubPr>
                <m:e>
                  <m:r>
                    <m:rPr/>
                    <w:rPr>
                      <w:rFonts w:hint="eastAsia" w:ascii="Cambria Math" w:hAnsi="Cambria Math" w:cs="宋体"/>
                      <w:kern w:val="0"/>
                      <w:sz w:val="18"/>
                      <w:szCs w:val="18"/>
                    </w:rPr>
                    <m:t>AD</m:t>
                  </m:r>
                  <m:ctrlPr>
                    <w:rPr>
                      <w:rFonts w:hint="eastAsia" w:ascii="Cambria Math" w:hAnsi="Cambria Math" w:cs="宋体"/>
                      <w:kern w:val="0"/>
                      <w:sz w:val="18"/>
                      <w:szCs w:val="18"/>
                    </w:rPr>
                  </m:ctrlPr>
                </m:e>
                <m:sub>
                  <m:r>
                    <m:rPr/>
                    <w:rPr>
                      <w:rFonts w:hint="eastAsia" w:ascii="Cambria Math" w:hAnsi="Cambria Math" w:cs="宋体"/>
                      <w:kern w:val="0"/>
                      <w:sz w:val="18"/>
                      <w:szCs w:val="18"/>
                    </w:rPr>
                    <m:t>i</m:t>
                  </m:r>
                  <m:ctrlPr>
                    <w:rPr>
                      <w:rFonts w:hint="eastAsia" w:ascii="Cambria Math" w:hAnsi="Cambria Math" w:cs="宋体"/>
                      <w:kern w:val="0"/>
                      <w:sz w:val="18"/>
                      <w:szCs w:val="18"/>
                    </w:rPr>
                  </m:ctrlPr>
                </m:sub>
              </m:sSub>
            </m:oMath>
          </w:p>
        </w:tc>
        <w:tc>
          <w:tcPr>
            <w:tcW w:w="2847" w:type="dxa"/>
            <w:tcBorders>
              <w:top w:val="single" w:color="auto" w:sz="8" w:space="0"/>
              <w:bottom w:val="single" w:color="auto" w:sz="8" w:space="0"/>
            </w:tcBorders>
            <w:shd w:val="clear" w:color="auto" w:fill="auto"/>
            <w:vAlign w:val="center"/>
          </w:tcPr>
          <w:p>
            <w:pPr>
              <w:numPr>
                <w:ilvl w:val="255"/>
                <w:numId w:val="0"/>
              </w:numPr>
              <w:adjustRightInd/>
              <w:spacing w:line="240" w:lineRule="auto"/>
              <w:jc w:val="center"/>
              <w:rPr>
                <w:rFonts w:ascii="宋体" w:hAnsi="宋体" w:cs="宋体"/>
                <w:sz w:val="18"/>
                <w:szCs w:val="18"/>
              </w:rPr>
            </w:pPr>
            <w:r>
              <w:rPr>
                <w:rFonts w:hint="eastAsia" w:ascii="宋体" w:hAnsi="宋体" w:cs="宋体"/>
                <w:sz w:val="18"/>
                <w:szCs w:val="18"/>
              </w:rPr>
              <w:t>碳排放因子</w:t>
            </w:r>
            <m:oMath>
              <m:sSub>
                <m:sSubPr>
                  <m:ctrlPr>
                    <w:rPr>
                      <w:rFonts w:hint="eastAsia" w:ascii="Cambria Math" w:hAnsi="Cambria Math" w:cs="宋体"/>
                      <w:i/>
                      <w:kern w:val="0"/>
                      <w:sz w:val="18"/>
                      <w:szCs w:val="18"/>
                    </w:rPr>
                  </m:ctrlPr>
                </m:sSubPr>
                <m:e>
                  <m:r>
                    <m:rPr/>
                    <w:rPr>
                      <w:rFonts w:hint="eastAsia" w:ascii="Cambria Math" w:hAnsi="Cambria Math" w:cs="宋体"/>
                      <w:kern w:val="0"/>
                      <w:sz w:val="18"/>
                      <w:szCs w:val="18"/>
                    </w:rPr>
                    <m:t>EF</m:t>
                  </m:r>
                  <m:ctrlPr>
                    <w:rPr>
                      <w:rFonts w:hint="eastAsia" w:ascii="Cambria Math" w:hAnsi="Cambria Math" w:cs="宋体"/>
                      <w:i/>
                      <w:kern w:val="0"/>
                      <w:sz w:val="18"/>
                      <w:szCs w:val="18"/>
                    </w:rPr>
                  </m:ctrlPr>
                </m:e>
                <m:sub>
                  <m:r>
                    <m:rPr/>
                    <w:rPr>
                      <w:rFonts w:hint="eastAsia" w:ascii="Cambria Math" w:hAnsi="Cambria Math" w:cs="宋体"/>
                      <w:kern w:val="0"/>
                      <w:sz w:val="18"/>
                      <w:szCs w:val="18"/>
                    </w:rPr>
                    <m:t>i</m:t>
                  </m:r>
                  <m:ctrlPr>
                    <w:rPr>
                      <w:rFonts w:hint="eastAsia" w:ascii="Cambria Math" w:hAnsi="Cambria Math" w:cs="宋体"/>
                      <w:i/>
                      <w:kern w:val="0"/>
                      <w:sz w:val="18"/>
                      <w:szCs w:val="18"/>
                    </w:rPr>
                  </m:ctrlPr>
                </m:sub>
              </m:sSub>
            </m:oMath>
          </w:p>
        </w:tc>
        <w:tc>
          <w:tcPr>
            <w:tcW w:w="2162" w:type="dxa"/>
            <w:tcBorders>
              <w:top w:val="single" w:color="auto" w:sz="8" w:space="0"/>
              <w:bottom w:val="single" w:color="auto" w:sz="8" w:space="0"/>
            </w:tcBorders>
            <w:shd w:val="clear" w:color="auto" w:fill="auto"/>
            <w:vAlign w:val="center"/>
          </w:tcPr>
          <w:p>
            <w:pPr>
              <w:numPr>
                <w:ilvl w:val="255"/>
                <w:numId w:val="0"/>
              </w:numPr>
              <w:adjustRightInd/>
              <w:spacing w:line="240" w:lineRule="auto"/>
              <w:jc w:val="center"/>
              <w:rPr>
                <w:rFonts w:ascii="宋体" w:hAnsi="宋体" w:cs="宋体"/>
                <w:sz w:val="18"/>
                <w:szCs w:val="18"/>
              </w:rPr>
            </w:pPr>
            <w:r>
              <w:rPr>
                <w:rFonts w:hint="eastAsia" w:ascii="宋体" w:hAnsi="宋体" w:cs="宋体"/>
                <w:sz w:val="18"/>
                <w:szCs w:val="18"/>
              </w:rPr>
              <w:t>碳排放贡献值</w:t>
            </w:r>
          </w:p>
          <w:p>
            <w:pPr>
              <w:numPr>
                <w:ilvl w:val="255"/>
                <w:numId w:val="0"/>
              </w:numPr>
              <w:adjustRightInd/>
              <w:spacing w:line="240" w:lineRule="auto"/>
              <w:jc w:val="center"/>
              <w:rPr>
                <w:rFonts w:ascii="宋体" w:hAnsi="宋体" w:cs="宋体"/>
                <w:sz w:val="18"/>
                <w:szCs w:val="18"/>
              </w:rPr>
            </w:pPr>
            <w:r>
              <w:rPr>
                <w:rFonts w:hint="eastAsia" w:ascii="宋体" w:hAnsi="宋体" w:cs="宋体"/>
                <w:sz w:val="18"/>
                <w:szCs w:val="18"/>
              </w:rPr>
              <w:t>（</w:t>
            </w:r>
            <w:r>
              <w:rPr>
                <w:rFonts w:hint="eastAsia" w:ascii="宋体" w:hAnsi="宋体" w:cs="宋体"/>
                <w:bCs/>
                <w:kern w:val="0"/>
                <w:sz w:val="18"/>
                <w:szCs w:val="18"/>
              </w:rPr>
              <w:t>kgCO</w:t>
            </w:r>
            <w:r>
              <w:rPr>
                <w:rFonts w:hint="eastAsia" w:ascii="宋体" w:hAnsi="宋体" w:cs="宋体"/>
                <w:bCs/>
                <w:kern w:val="0"/>
                <w:sz w:val="18"/>
                <w:szCs w:val="18"/>
                <w:vertAlign w:val="subscript"/>
              </w:rPr>
              <w:t>2</w:t>
            </w:r>
            <w:r>
              <w:rPr>
                <w:rFonts w:hint="eastAsia" w:ascii="宋体" w:hAnsi="宋体" w:cs="宋体"/>
                <w:bCs/>
                <w:kern w:val="0"/>
                <w:sz w:val="18"/>
                <w:szCs w:val="18"/>
              </w:rPr>
              <w:t>e</w:t>
            </w:r>
            <w:r>
              <w:rPr>
                <w:rFonts w:hint="eastAsia" w:ascii="宋体" w:hAnsi="宋体" w:cs="宋体"/>
                <w:sz w:val="18"/>
                <w:szCs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82" w:type="dxa"/>
            <w:tcBorders>
              <w:top w:val="single" w:color="auto" w:sz="8" w:space="0"/>
            </w:tcBorders>
            <w:shd w:val="clear" w:color="auto" w:fill="auto"/>
            <w:vAlign w:val="center"/>
          </w:tcPr>
          <w:p>
            <w:pPr>
              <w:numPr>
                <w:ilvl w:val="255"/>
                <w:numId w:val="0"/>
              </w:numPr>
              <w:adjustRightInd/>
              <w:spacing w:line="240" w:lineRule="auto"/>
              <w:jc w:val="center"/>
              <w:rPr>
                <w:rFonts w:ascii="宋体" w:hAnsi="宋体" w:cs="宋体"/>
                <w:sz w:val="18"/>
                <w:szCs w:val="18"/>
              </w:rPr>
            </w:pPr>
            <w:r>
              <w:rPr>
                <w:rFonts w:hint="eastAsia" w:ascii="宋体" w:hAnsi="宋体" w:cs="宋体"/>
                <w:sz w:val="18"/>
                <w:szCs w:val="18"/>
              </w:rPr>
              <w:t>电力</w:t>
            </w:r>
          </w:p>
        </w:tc>
        <w:tc>
          <w:tcPr>
            <w:tcW w:w="2600" w:type="dxa"/>
            <w:tcBorders>
              <w:top w:val="single" w:color="auto" w:sz="8" w:space="0"/>
            </w:tcBorders>
            <w:shd w:val="clear" w:color="auto" w:fill="auto"/>
            <w:vAlign w:val="center"/>
          </w:tcPr>
          <w:p>
            <w:pPr>
              <w:numPr>
                <w:ilvl w:val="255"/>
                <w:numId w:val="0"/>
              </w:numPr>
              <w:adjustRightInd/>
              <w:spacing w:line="240" w:lineRule="auto"/>
              <w:jc w:val="center"/>
              <w:rPr>
                <w:rFonts w:ascii="宋体" w:hAnsi="宋体" w:cs="宋体"/>
                <w:sz w:val="18"/>
                <w:szCs w:val="18"/>
              </w:rPr>
            </w:pPr>
            <w:r>
              <w:rPr>
                <w:rFonts w:hint="eastAsia" w:ascii="宋体" w:hAnsi="宋体" w:cs="宋体"/>
                <w:sz w:val="18"/>
                <w:szCs w:val="18"/>
              </w:rPr>
              <w:t>2.4</w:t>
            </w:r>
            <w:r>
              <w:rPr>
                <w:rFonts w:ascii="宋体" w:hAnsi="宋体" w:cs="宋体"/>
                <w:sz w:val="18"/>
                <w:szCs w:val="18"/>
              </w:rPr>
              <w:t>0</w:t>
            </w:r>
            <w:r>
              <w:rPr>
                <w:rFonts w:hint="eastAsia" w:ascii="宋体" w:hAnsi="宋体" w:cs="宋体"/>
                <w:sz w:val="18"/>
                <w:szCs w:val="18"/>
              </w:rPr>
              <w:t xml:space="preserve"> kw·h</w:t>
            </w:r>
          </w:p>
        </w:tc>
        <w:tc>
          <w:tcPr>
            <w:tcW w:w="2847" w:type="dxa"/>
            <w:tcBorders>
              <w:top w:val="single" w:color="auto" w:sz="8" w:space="0"/>
            </w:tcBorders>
            <w:shd w:val="clear" w:color="auto" w:fill="auto"/>
            <w:vAlign w:val="center"/>
          </w:tcPr>
          <w:p>
            <w:pPr>
              <w:numPr>
                <w:ilvl w:val="255"/>
                <w:numId w:val="0"/>
              </w:numPr>
              <w:adjustRightInd/>
              <w:spacing w:line="240" w:lineRule="auto"/>
              <w:jc w:val="center"/>
              <w:rPr>
                <w:rFonts w:ascii="宋体" w:hAnsi="宋体" w:cs="宋体"/>
                <w:sz w:val="18"/>
                <w:szCs w:val="18"/>
              </w:rPr>
            </w:pPr>
            <w:r>
              <w:rPr>
                <w:rFonts w:hint="eastAsia" w:ascii="宋体" w:hAnsi="宋体" w:cs="宋体"/>
                <w:sz w:val="18"/>
                <w:szCs w:val="18"/>
              </w:rPr>
              <w:t>0.57 kgCO</w:t>
            </w:r>
            <w:r>
              <w:rPr>
                <w:rFonts w:hint="eastAsia" w:ascii="宋体" w:hAnsi="宋体" w:cs="宋体"/>
                <w:sz w:val="18"/>
                <w:szCs w:val="18"/>
                <w:vertAlign w:val="subscript"/>
              </w:rPr>
              <w:t>2</w:t>
            </w:r>
            <w:r>
              <w:rPr>
                <w:rFonts w:hint="eastAsia" w:ascii="宋体" w:hAnsi="宋体" w:cs="宋体"/>
                <w:sz w:val="18"/>
                <w:szCs w:val="18"/>
              </w:rPr>
              <w:t>e/kw·h</w:t>
            </w:r>
          </w:p>
        </w:tc>
        <w:tc>
          <w:tcPr>
            <w:tcW w:w="2162" w:type="dxa"/>
            <w:tcBorders>
              <w:top w:val="single" w:color="auto" w:sz="8" w:space="0"/>
            </w:tcBorders>
            <w:shd w:val="clear" w:color="auto" w:fill="auto"/>
            <w:vAlign w:val="center"/>
          </w:tcPr>
          <w:p>
            <w:pPr>
              <w:numPr>
                <w:ilvl w:val="255"/>
                <w:numId w:val="0"/>
              </w:numPr>
              <w:adjustRightInd/>
              <w:spacing w:line="240" w:lineRule="auto"/>
              <w:jc w:val="center"/>
              <w:rPr>
                <w:rFonts w:ascii="宋体" w:hAnsi="宋体" w:cs="宋体"/>
                <w:sz w:val="18"/>
                <w:szCs w:val="18"/>
              </w:rPr>
            </w:pPr>
            <w:r>
              <w:rPr>
                <w:rFonts w:hint="eastAsia" w:ascii="宋体" w:hAnsi="宋体" w:cs="宋体"/>
                <w:sz w:val="18"/>
                <w:szCs w:val="18"/>
              </w:rPr>
              <w:t>1.37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82" w:type="dxa"/>
            <w:shd w:val="clear" w:color="auto" w:fill="auto"/>
            <w:vAlign w:val="center"/>
          </w:tcPr>
          <w:p>
            <w:pPr>
              <w:numPr>
                <w:ilvl w:val="255"/>
                <w:numId w:val="0"/>
              </w:numPr>
              <w:adjustRightInd/>
              <w:spacing w:line="240" w:lineRule="auto"/>
              <w:jc w:val="center"/>
              <w:rPr>
                <w:rFonts w:ascii="宋体" w:hAnsi="宋体" w:cs="宋体"/>
                <w:sz w:val="18"/>
                <w:szCs w:val="18"/>
              </w:rPr>
            </w:pPr>
            <w:r>
              <w:rPr>
                <w:rFonts w:hint="eastAsia" w:ascii="宋体" w:hAnsi="宋体" w:cs="宋体"/>
                <w:sz w:val="18"/>
                <w:szCs w:val="18"/>
              </w:rPr>
              <w:t>汽油</w:t>
            </w:r>
          </w:p>
        </w:tc>
        <w:tc>
          <w:tcPr>
            <w:tcW w:w="2600" w:type="dxa"/>
            <w:shd w:val="clear" w:color="auto" w:fill="auto"/>
            <w:vAlign w:val="center"/>
          </w:tcPr>
          <w:p>
            <w:pPr>
              <w:numPr>
                <w:ilvl w:val="255"/>
                <w:numId w:val="0"/>
              </w:numPr>
              <w:adjustRightInd/>
              <w:spacing w:line="240" w:lineRule="auto"/>
              <w:jc w:val="center"/>
              <w:rPr>
                <w:rFonts w:ascii="宋体" w:hAnsi="宋体" w:cs="宋体"/>
                <w:sz w:val="18"/>
                <w:szCs w:val="18"/>
              </w:rPr>
            </w:pPr>
            <w:r>
              <w:rPr>
                <w:rFonts w:hint="eastAsia" w:ascii="宋体" w:hAnsi="宋体" w:cs="宋体"/>
                <w:sz w:val="18"/>
                <w:szCs w:val="18"/>
              </w:rPr>
              <w:t>0.30 kg</w:t>
            </w:r>
          </w:p>
        </w:tc>
        <w:tc>
          <w:tcPr>
            <w:tcW w:w="2847" w:type="dxa"/>
            <w:shd w:val="clear" w:color="auto" w:fill="auto"/>
            <w:vAlign w:val="center"/>
          </w:tcPr>
          <w:p>
            <w:pPr>
              <w:numPr>
                <w:ilvl w:val="255"/>
                <w:numId w:val="0"/>
              </w:numPr>
              <w:adjustRightInd/>
              <w:spacing w:line="240" w:lineRule="auto"/>
              <w:jc w:val="center"/>
              <w:rPr>
                <w:rFonts w:ascii="宋体" w:hAnsi="宋体" w:cs="宋体"/>
                <w:sz w:val="18"/>
                <w:szCs w:val="18"/>
              </w:rPr>
            </w:pPr>
            <w:r>
              <w:rPr>
                <w:rFonts w:hint="eastAsia" w:ascii="宋体" w:hAnsi="宋体" w:cs="宋体"/>
                <w:sz w:val="18"/>
                <w:szCs w:val="18"/>
              </w:rPr>
              <w:t>3.04 kgCO</w:t>
            </w:r>
            <w:r>
              <w:rPr>
                <w:rFonts w:hint="eastAsia" w:ascii="宋体" w:hAnsi="宋体" w:cs="宋体"/>
                <w:sz w:val="18"/>
                <w:szCs w:val="18"/>
                <w:vertAlign w:val="subscript"/>
              </w:rPr>
              <w:t>2</w:t>
            </w:r>
            <w:r>
              <w:rPr>
                <w:rFonts w:hint="eastAsia" w:ascii="宋体" w:hAnsi="宋体" w:cs="宋体"/>
                <w:sz w:val="18"/>
                <w:szCs w:val="18"/>
              </w:rPr>
              <w:t>e/kg</w:t>
            </w:r>
          </w:p>
        </w:tc>
        <w:tc>
          <w:tcPr>
            <w:tcW w:w="2162" w:type="dxa"/>
            <w:shd w:val="clear" w:color="auto" w:fill="auto"/>
            <w:vAlign w:val="center"/>
          </w:tcPr>
          <w:p>
            <w:pPr>
              <w:numPr>
                <w:ilvl w:val="255"/>
                <w:numId w:val="0"/>
              </w:numPr>
              <w:adjustRightInd/>
              <w:spacing w:line="240" w:lineRule="auto"/>
              <w:jc w:val="center"/>
              <w:rPr>
                <w:rFonts w:ascii="宋体" w:hAnsi="宋体" w:cs="宋体"/>
                <w:sz w:val="18"/>
                <w:szCs w:val="18"/>
              </w:rPr>
            </w:pPr>
            <w:r>
              <w:rPr>
                <w:rFonts w:hint="eastAsia" w:ascii="宋体" w:hAnsi="宋体" w:cs="宋体"/>
                <w:sz w:val="18"/>
                <w:szCs w:val="18"/>
              </w:rPr>
              <w:t>0.91</w:t>
            </w:r>
          </w:p>
        </w:tc>
      </w:tr>
    </w:tbl>
    <w:p>
      <w:pPr>
        <w:pStyle w:val="213"/>
        <w:rPr>
          <w:rFonts w:hAnsi="宋体" w:cs="宋体"/>
          <w:bCs/>
          <w:kern w:val="0"/>
          <w:szCs w:val="21"/>
        </w:rPr>
      </w:pPr>
      <w:r>
        <w:rPr>
          <w:rFonts w:hint="eastAsia" w:hAnsi="宋体" w:cs="宋体"/>
          <w:bCs/>
          <w:kern w:val="0"/>
          <w:szCs w:val="21"/>
        </w:rPr>
        <w:t>预拌混凝土生产中人工消耗的碳排放量计算</w:t>
      </w:r>
      <w:r>
        <w:rPr>
          <w:rFonts w:hint="eastAsia" w:hAnsi="宋体" w:cs="宋体"/>
          <w:bCs/>
          <w:kern w:val="0"/>
          <w:szCs w:val="21"/>
          <w:lang w:val="en-US" w:eastAsia="zh-CN"/>
        </w:rPr>
        <w:t>如下：</w:t>
      </w:r>
    </w:p>
    <w:p>
      <w:pPr>
        <w:pStyle w:val="159"/>
        <w:ind w:firstLine="420" w:firstLineChars="200"/>
      </w:pPr>
      <w:r>
        <w:rPr>
          <w:rFonts w:hint="eastAsia"/>
        </w:rPr>
        <w:t>采集2022年7月至2023年6月厂区范围内生产人员、办公人员及管理人员的工作时长记录，得到总人工工日为6204天（</w:t>
      </w:r>
      <m:oMath>
        <m:sSub>
          <m:sSubPr>
            <m:ctrlPr>
              <w:rPr>
                <w:rFonts w:hint="eastAsia" w:ascii="Cambria Math" w:hAnsi="Cambria Math"/>
                <w:i/>
                <w:iCs/>
              </w:rPr>
            </m:ctrlPr>
          </m:sSubPr>
          <m:e>
            <m:r>
              <m:rPr/>
              <w:rPr>
                <w:rFonts w:hint="eastAsia" w:ascii="Cambria Math" w:hAnsi="Cambria Math"/>
              </w:rPr>
              <m:t>N</m:t>
            </m:r>
            <m:ctrlPr>
              <w:rPr>
                <w:rFonts w:hint="eastAsia" w:ascii="Cambria Math" w:hAnsi="Cambria Math"/>
                <w:i/>
                <w:iCs/>
              </w:rPr>
            </m:ctrlPr>
          </m:e>
          <m:sub>
            <m:r>
              <m:rPr/>
              <w:rPr>
                <w:rFonts w:hint="eastAsia" w:ascii="Cambria Math" w:hAnsi="Cambria Math"/>
              </w:rPr>
              <m:t>z</m:t>
            </m:r>
            <m:ctrlPr>
              <w:rPr>
                <w:rFonts w:hint="eastAsia" w:ascii="Cambria Math" w:hAnsi="Cambria Math"/>
                <w:i/>
                <w:iCs/>
              </w:rPr>
            </m:ctrlPr>
          </m:sub>
        </m:sSub>
      </m:oMath>
      <w:r>
        <w:rPr>
          <w:rFonts w:hint="eastAsia"/>
        </w:rPr>
        <w:t>），再根据公式（</w:t>
      </w:r>
      <w:r>
        <w:t>12</w:t>
      </w:r>
      <w:r>
        <w:rPr>
          <w:rFonts w:hint="eastAsia"/>
        </w:rPr>
        <w:t>）计算每立方米预拌混凝土生产中所消耗的人工工日数为0.1（</w:t>
      </w:r>
      <m:oMath>
        <m:r>
          <m:rPr/>
          <w:rPr>
            <w:rFonts w:hint="eastAsia" w:ascii="Cambria Math" w:hAnsi="Cambria Math"/>
          </w:rPr>
          <m:t>N</m:t>
        </m:r>
      </m:oMath>
      <w:r>
        <w:rPr>
          <w:rFonts w:hint="eastAsia"/>
        </w:rPr>
        <w:t>）。结合综合人工工日的默认碳排放因子</w:t>
      </w:r>
      <m:oMath>
        <m:sSub>
          <m:sSubPr>
            <m:ctrlPr>
              <w:rPr>
                <w:rFonts w:hint="eastAsia" w:ascii="Cambria Math" w:hAnsi="Cambria Math"/>
                <w:i/>
                <w:iCs/>
              </w:rPr>
            </m:ctrlPr>
          </m:sSubPr>
          <m:e>
            <m:r>
              <m:rPr/>
              <w:rPr>
                <w:rFonts w:hint="eastAsia" w:ascii="Cambria Math" w:hAnsi="Cambria Math"/>
              </w:rPr>
              <m:t>E</m:t>
            </m:r>
            <m:ctrlPr>
              <w:rPr>
                <w:rFonts w:hint="eastAsia" w:ascii="Cambria Math" w:hAnsi="Cambria Math"/>
                <w:i/>
                <w:iCs/>
              </w:rPr>
            </m:ctrlPr>
          </m:e>
          <m:sub>
            <m:r>
              <m:rPr/>
              <w:rPr>
                <w:rFonts w:hint="eastAsia" w:ascii="Cambria Math" w:hAnsi="Cambria Math"/>
              </w:rPr>
              <m:t>r</m:t>
            </m:r>
            <m:ctrlPr>
              <w:rPr>
                <w:rFonts w:hint="eastAsia" w:ascii="Cambria Math" w:hAnsi="Cambria Math"/>
                <w:i/>
                <w:iCs/>
              </w:rPr>
            </m:ctrlPr>
          </m:sub>
        </m:sSub>
      </m:oMath>
      <w:r>
        <w:rPr>
          <w:rFonts w:hint="eastAsia"/>
        </w:rPr>
        <w:t>为1.11</w:t>
      </w:r>
      <w:r>
        <w:t>0</w:t>
      </w:r>
      <w:r>
        <w:rPr>
          <w:rFonts w:hint="eastAsia"/>
        </w:rPr>
        <w:t xml:space="preserve"> kgCO</w:t>
      </w:r>
      <w:r>
        <w:rPr>
          <w:rFonts w:hint="eastAsia"/>
          <w:vertAlign w:val="subscript"/>
        </w:rPr>
        <w:t>2</w:t>
      </w:r>
      <w:r>
        <w:rPr>
          <w:rFonts w:hint="eastAsia"/>
        </w:rPr>
        <w:t>e/工日，根据公式（</w:t>
      </w:r>
      <w:r>
        <w:t>11</w:t>
      </w:r>
      <w:r>
        <w:rPr>
          <w:rFonts w:hint="eastAsia"/>
        </w:rPr>
        <w:t>）计算得到预拌混凝土生产中人工消耗的碳排放量</w:t>
      </w:r>
      <m:oMath>
        <m:sSub>
          <m:sSubPr>
            <m:ctrlPr>
              <w:rPr>
                <w:rFonts w:hint="eastAsia" w:ascii="Cambria Math" w:hAnsi="Cambria Math"/>
                <w:i/>
                <w:iCs/>
              </w:rPr>
            </m:ctrlPr>
          </m:sSubPr>
          <m:e>
            <m:r>
              <m:rPr/>
              <w:rPr>
                <w:rFonts w:hint="eastAsia" w:ascii="Cambria Math" w:hAnsi="Cambria Math"/>
              </w:rPr>
              <m:t>C</m:t>
            </m:r>
            <m:ctrlPr>
              <w:rPr>
                <w:rFonts w:hint="eastAsia" w:ascii="Cambria Math" w:hAnsi="Cambria Math"/>
                <w:i/>
                <w:iCs/>
              </w:rPr>
            </m:ctrlPr>
          </m:e>
          <m:sub>
            <m:r>
              <m:rPr/>
              <w:rPr>
                <w:rFonts w:hint="eastAsia" w:ascii="Cambria Math" w:hAnsi="Cambria Math"/>
              </w:rPr>
              <m:t>4</m:t>
            </m:r>
            <m:ctrlPr>
              <w:rPr>
                <w:rFonts w:hint="eastAsia" w:ascii="Cambria Math" w:hAnsi="Cambria Math"/>
                <w:i/>
                <w:iCs/>
              </w:rPr>
            </m:ctrlPr>
          </m:sub>
        </m:sSub>
      </m:oMath>
      <w:r>
        <w:rPr>
          <w:rFonts w:hint="eastAsia"/>
        </w:rPr>
        <w:t>=1.11×0.1=0.111 kgCO</w:t>
      </w:r>
      <w:r>
        <w:rPr>
          <w:rFonts w:hint="eastAsia"/>
          <w:vertAlign w:val="subscript"/>
        </w:rPr>
        <w:t>2</w:t>
      </w:r>
      <w:r>
        <w:rPr>
          <w:rFonts w:hint="eastAsia"/>
        </w:rPr>
        <w:t>e。</w:t>
      </w:r>
    </w:p>
    <w:p>
      <w:pPr>
        <w:pStyle w:val="213"/>
      </w:pPr>
      <w:r>
        <w:rPr>
          <w:rFonts w:hint="eastAsia"/>
        </w:rPr>
        <w:t>预拌混凝土单位产品碳排放量计算</w:t>
      </w:r>
      <w:r>
        <w:rPr>
          <w:rFonts w:hint="eastAsia"/>
          <w:lang w:val="en-US" w:eastAsia="zh-CN"/>
        </w:rPr>
        <w:t>如下：</w:t>
      </w:r>
    </w:p>
    <w:p>
      <w:pPr>
        <w:pStyle w:val="159"/>
        <w:ind w:firstLine="420" w:firstLineChars="200"/>
        <w:rPr>
          <w:rFonts w:hint="eastAsia"/>
        </w:rPr>
      </w:pPr>
      <w:r>
        <w:rPr>
          <w:rFonts w:hint="eastAsia"/>
        </w:rPr>
        <w:t>根据公式（1），计算得到案例预拌混凝土单位产品碳排放量：</w:t>
      </w:r>
      <m:oMath>
        <m:sSub>
          <m:sSubPr>
            <m:ctrlPr>
              <w:rPr>
                <w:rFonts w:hint="eastAsia" w:ascii="Cambria Math" w:hAnsi="Cambria Math"/>
                <w:i/>
                <w:iCs/>
              </w:rPr>
            </m:ctrlPr>
          </m:sSubPr>
          <m:e>
            <m:sSub>
              <m:sSubPr>
                <m:ctrlPr>
                  <w:rPr>
                    <w:rFonts w:hint="eastAsia" w:ascii="Cambria Math" w:hAnsi="Cambria Math"/>
                    <w:i/>
                    <w:iCs/>
                  </w:rPr>
                </m:ctrlPr>
              </m:sSubPr>
              <m:e>
                <m:r>
                  <m:rPr/>
                  <w:rPr>
                    <w:rFonts w:hint="eastAsia" w:ascii="Cambria Math" w:hAnsi="Cambria Math"/>
                  </w:rPr>
                  <m:t>C=C</m:t>
                </m:r>
                <m:ctrlPr>
                  <w:rPr>
                    <w:rFonts w:hint="eastAsia" w:ascii="Cambria Math" w:hAnsi="Cambria Math"/>
                    <w:i/>
                    <w:iCs/>
                  </w:rPr>
                </m:ctrlPr>
              </m:e>
              <m:sub>
                <m:r>
                  <m:rPr/>
                  <w:rPr>
                    <w:rFonts w:hint="eastAsia" w:ascii="Cambria Math" w:hAnsi="Cambria Math"/>
                  </w:rPr>
                  <m:t>1</m:t>
                </m:r>
                <m:ctrlPr>
                  <w:rPr>
                    <w:rFonts w:hint="eastAsia" w:ascii="Cambria Math" w:hAnsi="Cambria Math"/>
                    <w:i/>
                    <w:iCs/>
                  </w:rPr>
                </m:ctrlPr>
              </m:sub>
            </m:sSub>
            <m:r>
              <m:rPr/>
              <w:rPr>
                <w:rFonts w:hint="eastAsia" w:ascii="Cambria Math" w:hAnsi="Cambria Math"/>
              </w:rPr>
              <m:t>+C</m:t>
            </m:r>
            <m:ctrlPr>
              <w:rPr>
                <w:rFonts w:hint="eastAsia" w:ascii="Cambria Math" w:hAnsi="Cambria Math"/>
                <w:i/>
                <w:iCs/>
              </w:rPr>
            </m:ctrlPr>
          </m:e>
          <m:sub>
            <m:r>
              <m:rPr/>
              <w:rPr>
                <w:rFonts w:hint="eastAsia" w:ascii="Cambria Math" w:hAnsi="Cambria Math"/>
              </w:rPr>
              <m:t>2</m:t>
            </m:r>
            <m:ctrlPr>
              <w:rPr>
                <w:rFonts w:hint="eastAsia" w:ascii="Cambria Math" w:hAnsi="Cambria Math"/>
                <w:i/>
                <w:iCs/>
              </w:rPr>
            </m:ctrlPr>
          </m:sub>
        </m:sSub>
        <m:r>
          <m:rPr/>
          <w:rPr>
            <w:rFonts w:hint="eastAsia" w:ascii="Cambria Math" w:hAnsi="Cambria Math"/>
          </w:rPr>
          <m:t>+</m:t>
        </m:r>
        <m:sSub>
          <m:sSubPr>
            <m:ctrlPr>
              <w:rPr>
                <w:rFonts w:hint="eastAsia" w:ascii="Cambria Math" w:hAnsi="Cambria Math"/>
                <w:i/>
                <w:iCs/>
              </w:rPr>
            </m:ctrlPr>
          </m:sSubPr>
          <m:e>
            <m:r>
              <m:rPr/>
              <w:rPr>
                <w:rFonts w:hint="eastAsia" w:ascii="Cambria Math" w:hAnsi="Cambria Math"/>
              </w:rPr>
              <m:t>C</m:t>
            </m:r>
            <m:ctrlPr>
              <w:rPr>
                <w:rFonts w:hint="eastAsia" w:ascii="Cambria Math" w:hAnsi="Cambria Math"/>
                <w:i/>
                <w:iCs/>
              </w:rPr>
            </m:ctrlPr>
          </m:e>
          <m:sub>
            <m:r>
              <m:rPr/>
              <w:rPr>
                <w:rFonts w:hint="eastAsia" w:ascii="Cambria Math" w:hAnsi="Cambria Math"/>
              </w:rPr>
              <m:t>3</m:t>
            </m:r>
            <m:ctrlPr>
              <w:rPr>
                <w:rFonts w:hint="eastAsia" w:ascii="Cambria Math" w:hAnsi="Cambria Math"/>
                <w:i/>
                <w:iCs/>
              </w:rPr>
            </m:ctrlPr>
          </m:sub>
        </m:sSub>
        <m:r>
          <m:rPr/>
          <w:rPr>
            <w:rFonts w:hint="eastAsia" w:ascii="Cambria Math" w:hAnsi="Cambria Math"/>
          </w:rPr>
          <m:t>+</m:t>
        </m:r>
        <m:sSub>
          <m:sSubPr>
            <m:ctrlPr>
              <w:rPr>
                <w:rFonts w:hint="eastAsia" w:ascii="Cambria Math" w:hAnsi="Cambria Math"/>
                <w:i/>
                <w:iCs/>
              </w:rPr>
            </m:ctrlPr>
          </m:sSubPr>
          <m:e>
            <m:r>
              <m:rPr/>
              <w:rPr>
                <w:rFonts w:hint="eastAsia" w:ascii="Cambria Math" w:hAnsi="Cambria Math"/>
              </w:rPr>
              <m:t>C</m:t>
            </m:r>
            <m:ctrlPr>
              <w:rPr>
                <w:rFonts w:hint="eastAsia" w:ascii="Cambria Math" w:hAnsi="Cambria Math"/>
                <w:i/>
                <w:iCs/>
              </w:rPr>
            </m:ctrlPr>
          </m:e>
          <m:sub>
            <m:r>
              <m:rPr/>
              <w:rPr>
                <w:rFonts w:hint="eastAsia" w:ascii="Cambria Math" w:hAnsi="Cambria Math"/>
              </w:rPr>
              <m:t>4</m:t>
            </m:r>
            <m:ctrlPr>
              <w:rPr>
                <w:rFonts w:hint="eastAsia" w:ascii="Cambria Math" w:hAnsi="Cambria Math"/>
                <w:i/>
                <w:iCs/>
              </w:rPr>
            </m:ctrlPr>
          </m:sub>
        </m:sSub>
      </m:oMath>
      <w:r>
        <w:rPr>
          <w:rFonts w:hint="eastAsia"/>
        </w:rPr>
        <w:t>=189.19+7.03</w:t>
      </w:r>
    </w:p>
    <w:p>
      <w:pPr>
        <w:pStyle w:val="159"/>
      </w:pPr>
      <w:r>
        <w:rPr>
          <w:rFonts w:hint="eastAsia"/>
        </w:rPr>
        <w:t>+2.28+0.11=198.61 kgCO</w:t>
      </w:r>
      <w:r>
        <w:rPr>
          <w:rFonts w:hint="eastAsia"/>
          <w:vertAlign w:val="subscript"/>
        </w:rPr>
        <w:t>2</w:t>
      </w:r>
      <w:r>
        <w:rPr>
          <w:rFonts w:hint="eastAsia"/>
        </w:rPr>
        <w:t>e。</w:t>
      </w:r>
    </w:p>
    <w:p>
      <w:pPr>
        <w:pStyle w:val="58"/>
        <w:ind w:firstLine="420"/>
      </w:pPr>
    </w:p>
    <w:sectPr>
      <w:pgSz w:w="11906" w:h="16838"/>
      <w:pgMar w:top="567"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DB32/TXXXX—2024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DB32/TXXXX—2024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DB32/TXXXX—2024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1"/>
  <w:bordersDoNotSurroundFooter w:val="1"/>
  <w:attachedTemplate r:id="rId1"/>
  <w:documentProtection w:edit="forms" w:enforcement="1" w:cryptProviderType="rsaAES" w:cryptAlgorithmClass="hash" w:cryptAlgorithmType="typeAny" w:cryptAlgorithmSid="14" w:cryptSpinCount="100000" w:hash="+x1lBxwIjK3dsGX3P9OkSQ20/4SCWP0BZykAwASDWJIE2OYG0accPb05kxb8S5hWr/co+KddlS7S&#10;tmeY3N+hSg=====" w:salt="E9VBTr73K7tu5B6uq5s5f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kxYWZiOTU3Y2M5YjEzY2JiZDVlNDkxNzc0MjhhMmUifQ=="/>
  </w:docVars>
  <w:rsids>
    <w:rsidRoot w:val="004702BC"/>
    <w:rsid w:val="0000040A"/>
    <w:rsid w:val="00000A94"/>
    <w:rsid w:val="00001972"/>
    <w:rsid w:val="00001D9A"/>
    <w:rsid w:val="00007B3A"/>
    <w:rsid w:val="000107E0"/>
    <w:rsid w:val="00011FDE"/>
    <w:rsid w:val="00012FFD"/>
    <w:rsid w:val="00014162"/>
    <w:rsid w:val="00014340"/>
    <w:rsid w:val="00016A9C"/>
    <w:rsid w:val="000172D0"/>
    <w:rsid w:val="00022184"/>
    <w:rsid w:val="00022762"/>
    <w:rsid w:val="000238E0"/>
    <w:rsid w:val="000249DB"/>
    <w:rsid w:val="0002595E"/>
    <w:rsid w:val="000303C3"/>
    <w:rsid w:val="000331D3"/>
    <w:rsid w:val="000346A5"/>
    <w:rsid w:val="000359C3"/>
    <w:rsid w:val="00035A7D"/>
    <w:rsid w:val="000365ED"/>
    <w:rsid w:val="0004249A"/>
    <w:rsid w:val="00043282"/>
    <w:rsid w:val="00043F32"/>
    <w:rsid w:val="00044286"/>
    <w:rsid w:val="00047F28"/>
    <w:rsid w:val="000503AA"/>
    <w:rsid w:val="000506A1"/>
    <w:rsid w:val="000515DD"/>
    <w:rsid w:val="0005265A"/>
    <w:rsid w:val="000539DD"/>
    <w:rsid w:val="00053BD3"/>
    <w:rsid w:val="000556ED"/>
    <w:rsid w:val="00055FE2"/>
    <w:rsid w:val="0005616F"/>
    <w:rsid w:val="00056C5C"/>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ECE"/>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2F82"/>
    <w:rsid w:val="000E4C9E"/>
    <w:rsid w:val="000E5F82"/>
    <w:rsid w:val="000E6FD7"/>
    <w:rsid w:val="000F06E1"/>
    <w:rsid w:val="000F0E3C"/>
    <w:rsid w:val="000F19D5"/>
    <w:rsid w:val="000F4AD3"/>
    <w:rsid w:val="000F4AEA"/>
    <w:rsid w:val="000F633F"/>
    <w:rsid w:val="000F67E9"/>
    <w:rsid w:val="00104926"/>
    <w:rsid w:val="001053D9"/>
    <w:rsid w:val="00105D57"/>
    <w:rsid w:val="00107F7E"/>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0C59"/>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59F"/>
    <w:rsid w:val="00195C34"/>
    <w:rsid w:val="001968A4"/>
    <w:rsid w:val="00196EF5"/>
    <w:rsid w:val="001A1A53"/>
    <w:rsid w:val="001A234A"/>
    <w:rsid w:val="001A3E18"/>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AC"/>
    <w:rsid w:val="001D2DE7"/>
    <w:rsid w:val="001D411C"/>
    <w:rsid w:val="001D4EB6"/>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5CF0"/>
    <w:rsid w:val="00246021"/>
    <w:rsid w:val="0024666E"/>
    <w:rsid w:val="00247BB4"/>
    <w:rsid w:val="00247F52"/>
    <w:rsid w:val="00250B25"/>
    <w:rsid w:val="00250BBE"/>
    <w:rsid w:val="002515C2"/>
    <w:rsid w:val="0025194F"/>
    <w:rsid w:val="002525A2"/>
    <w:rsid w:val="0025470A"/>
    <w:rsid w:val="0026148A"/>
    <w:rsid w:val="00262696"/>
    <w:rsid w:val="00263D25"/>
    <w:rsid w:val="002643C3"/>
    <w:rsid w:val="00264A0C"/>
    <w:rsid w:val="00266EEB"/>
    <w:rsid w:val="00267EF4"/>
    <w:rsid w:val="00270CB8"/>
    <w:rsid w:val="00271FD7"/>
    <w:rsid w:val="00272B08"/>
    <w:rsid w:val="00273781"/>
    <w:rsid w:val="00281304"/>
    <w:rsid w:val="00281BB8"/>
    <w:rsid w:val="00281E9E"/>
    <w:rsid w:val="00282405"/>
    <w:rsid w:val="00285170"/>
    <w:rsid w:val="00285361"/>
    <w:rsid w:val="00292D60"/>
    <w:rsid w:val="00293B30"/>
    <w:rsid w:val="00294D34"/>
    <w:rsid w:val="00294E3B"/>
    <w:rsid w:val="00296193"/>
    <w:rsid w:val="00296C66"/>
    <w:rsid w:val="00296EBE"/>
    <w:rsid w:val="002974E3"/>
    <w:rsid w:val="00297A05"/>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1199"/>
    <w:rsid w:val="002D42B5"/>
    <w:rsid w:val="002D4F1A"/>
    <w:rsid w:val="002D6EC6"/>
    <w:rsid w:val="002D79AC"/>
    <w:rsid w:val="002E039D"/>
    <w:rsid w:val="002E4D5A"/>
    <w:rsid w:val="002E6326"/>
    <w:rsid w:val="002F30E0"/>
    <w:rsid w:val="002F35E4"/>
    <w:rsid w:val="002F3730"/>
    <w:rsid w:val="002F38E1"/>
    <w:rsid w:val="002F6F83"/>
    <w:rsid w:val="002F7AF6"/>
    <w:rsid w:val="00300E63"/>
    <w:rsid w:val="00302F5F"/>
    <w:rsid w:val="0030441D"/>
    <w:rsid w:val="00306063"/>
    <w:rsid w:val="00313B85"/>
    <w:rsid w:val="00316078"/>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71C"/>
    <w:rsid w:val="003C5A43"/>
    <w:rsid w:val="003C70AA"/>
    <w:rsid w:val="003D0519"/>
    <w:rsid w:val="003D0FF6"/>
    <w:rsid w:val="003D262C"/>
    <w:rsid w:val="003D6D61"/>
    <w:rsid w:val="003E01E8"/>
    <w:rsid w:val="003E091D"/>
    <w:rsid w:val="003E0C33"/>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62A"/>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2BC"/>
    <w:rsid w:val="00470775"/>
    <w:rsid w:val="004746B1"/>
    <w:rsid w:val="0047583F"/>
    <w:rsid w:val="00475DE8"/>
    <w:rsid w:val="00481C44"/>
    <w:rsid w:val="00484936"/>
    <w:rsid w:val="00485C89"/>
    <w:rsid w:val="00486BE3"/>
    <w:rsid w:val="004905E4"/>
    <w:rsid w:val="00490A89"/>
    <w:rsid w:val="00490AB4"/>
    <w:rsid w:val="00492F02"/>
    <w:rsid w:val="004939AE"/>
    <w:rsid w:val="0049649A"/>
    <w:rsid w:val="004A12DF"/>
    <w:rsid w:val="004A17E6"/>
    <w:rsid w:val="004A1BA8"/>
    <w:rsid w:val="004A4B57"/>
    <w:rsid w:val="004A63FA"/>
    <w:rsid w:val="004B0272"/>
    <w:rsid w:val="004B2701"/>
    <w:rsid w:val="004B2E1B"/>
    <w:rsid w:val="004B3AA8"/>
    <w:rsid w:val="004B3E93"/>
    <w:rsid w:val="004C1FBC"/>
    <w:rsid w:val="004C3F1D"/>
    <w:rsid w:val="004C458D"/>
    <w:rsid w:val="004C45D0"/>
    <w:rsid w:val="004C7556"/>
    <w:rsid w:val="004C7E8B"/>
    <w:rsid w:val="004C7E9D"/>
    <w:rsid w:val="004C7F67"/>
    <w:rsid w:val="004D076D"/>
    <w:rsid w:val="004D0EF1"/>
    <w:rsid w:val="004D2253"/>
    <w:rsid w:val="004D4406"/>
    <w:rsid w:val="004D6538"/>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7076"/>
    <w:rsid w:val="00541853"/>
    <w:rsid w:val="00543BDA"/>
    <w:rsid w:val="005441CC"/>
    <w:rsid w:val="005479DA"/>
    <w:rsid w:val="00547BCC"/>
    <w:rsid w:val="0055013B"/>
    <w:rsid w:val="00551F6F"/>
    <w:rsid w:val="00555044"/>
    <w:rsid w:val="005577B4"/>
    <w:rsid w:val="00561475"/>
    <w:rsid w:val="00563986"/>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999"/>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5F4F82"/>
    <w:rsid w:val="006015CE"/>
    <w:rsid w:val="00604784"/>
    <w:rsid w:val="00606419"/>
    <w:rsid w:val="00606C7E"/>
    <w:rsid w:val="00607D29"/>
    <w:rsid w:val="00612952"/>
    <w:rsid w:val="00614CC1"/>
    <w:rsid w:val="00615A9D"/>
    <w:rsid w:val="00617387"/>
    <w:rsid w:val="006205D6"/>
    <w:rsid w:val="00624187"/>
    <w:rsid w:val="006252D8"/>
    <w:rsid w:val="006259BC"/>
    <w:rsid w:val="0062636B"/>
    <w:rsid w:val="00627159"/>
    <w:rsid w:val="00632182"/>
    <w:rsid w:val="00632AE0"/>
    <w:rsid w:val="00633C17"/>
    <w:rsid w:val="00634D9E"/>
    <w:rsid w:val="00636E3E"/>
    <w:rsid w:val="006379F7"/>
    <w:rsid w:val="00637E4D"/>
    <w:rsid w:val="00640620"/>
    <w:rsid w:val="00640F8B"/>
    <w:rsid w:val="00641A1F"/>
    <w:rsid w:val="00645904"/>
    <w:rsid w:val="00651ACB"/>
    <w:rsid w:val="00651C47"/>
    <w:rsid w:val="00652AB2"/>
    <w:rsid w:val="00653FED"/>
    <w:rsid w:val="00654EC0"/>
    <w:rsid w:val="00654EFE"/>
    <w:rsid w:val="0065525B"/>
    <w:rsid w:val="00655D4F"/>
    <w:rsid w:val="00656D29"/>
    <w:rsid w:val="006640E5"/>
    <w:rsid w:val="006646F1"/>
    <w:rsid w:val="00664929"/>
    <w:rsid w:val="00664F62"/>
    <w:rsid w:val="006650DC"/>
    <w:rsid w:val="006655E1"/>
    <w:rsid w:val="00672060"/>
    <w:rsid w:val="00672BFD"/>
    <w:rsid w:val="006770F4"/>
    <w:rsid w:val="00677A84"/>
    <w:rsid w:val="0068026D"/>
    <w:rsid w:val="00680A27"/>
    <w:rsid w:val="006816A4"/>
    <w:rsid w:val="006819B8"/>
    <w:rsid w:val="006840A6"/>
    <w:rsid w:val="006850CD"/>
    <w:rsid w:val="00685AAB"/>
    <w:rsid w:val="00694F8A"/>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C74EE"/>
    <w:rsid w:val="006D04EA"/>
    <w:rsid w:val="006D16C4"/>
    <w:rsid w:val="006D3E96"/>
    <w:rsid w:val="006D4515"/>
    <w:rsid w:val="006D478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1934"/>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1222"/>
    <w:rsid w:val="00765C43"/>
    <w:rsid w:val="00765EFB"/>
    <w:rsid w:val="007671CA"/>
    <w:rsid w:val="00767C61"/>
    <w:rsid w:val="0077008A"/>
    <w:rsid w:val="0077130C"/>
    <w:rsid w:val="00773841"/>
    <w:rsid w:val="00773C1F"/>
    <w:rsid w:val="00774DA4"/>
    <w:rsid w:val="00776599"/>
    <w:rsid w:val="0078114B"/>
    <w:rsid w:val="00781DD2"/>
    <w:rsid w:val="00783ECF"/>
    <w:rsid w:val="0078413A"/>
    <w:rsid w:val="00786C8B"/>
    <w:rsid w:val="00790A2D"/>
    <w:rsid w:val="007959E8"/>
    <w:rsid w:val="00795E9C"/>
    <w:rsid w:val="007A0521"/>
    <w:rsid w:val="007A2E12"/>
    <w:rsid w:val="007A3475"/>
    <w:rsid w:val="007A41C8"/>
    <w:rsid w:val="007A41D6"/>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8F6"/>
    <w:rsid w:val="00823303"/>
    <w:rsid w:val="008233B2"/>
    <w:rsid w:val="00823A9F"/>
    <w:rsid w:val="00823C85"/>
    <w:rsid w:val="00823F88"/>
    <w:rsid w:val="008249F8"/>
    <w:rsid w:val="00825138"/>
    <w:rsid w:val="008269DD"/>
    <w:rsid w:val="00830621"/>
    <w:rsid w:val="0083348C"/>
    <w:rsid w:val="008373D3"/>
    <w:rsid w:val="00840617"/>
    <w:rsid w:val="00840F84"/>
    <w:rsid w:val="00842A47"/>
    <w:rsid w:val="00843C13"/>
    <w:rsid w:val="008454F8"/>
    <w:rsid w:val="0085173A"/>
    <w:rsid w:val="008529C6"/>
    <w:rsid w:val="00856316"/>
    <w:rsid w:val="008603CE"/>
    <w:rsid w:val="008620FC"/>
    <w:rsid w:val="008627A5"/>
    <w:rsid w:val="00863E05"/>
    <w:rsid w:val="00864301"/>
    <w:rsid w:val="00865ACA"/>
    <w:rsid w:val="00865D28"/>
    <w:rsid w:val="00865F85"/>
    <w:rsid w:val="00867C10"/>
    <w:rsid w:val="00870439"/>
    <w:rsid w:val="00870DA1"/>
    <w:rsid w:val="008736C9"/>
    <w:rsid w:val="00877595"/>
    <w:rsid w:val="00883F93"/>
    <w:rsid w:val="00884DB3"/>
    <w:rsid w:val="00885A9D"/>
    <w:rsid w:val="008864F6"/>
    <w:rsid w:val="0089049D"/>
    <w:rsid w:val="00890FE6"/>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15E9"/>
    <w:rsid w:val="008D2D1D"/>
    <w:rsid w:val="008D3A61"/>
    <w:rsid w:val="008D453D"/>
    <w:rsid w:val="008D53AD"/>
    <w:rsid w:val="008D562B"/>
    <w:rsid w:val="008D5733"/>
    <w:rsid w:val="008D622B"/>
    <w:rsid w:val="008D666C"/>
    <w:rsid w:val="008D7B54"/>
    <w:rsid w:val="008E0957"/>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2A98"/>
    <w:rsid w:val="00905AC2"/>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2DCB"/>
    <w:rsid w:val="00953604"/>
    <w:rsid w:val="0095496B"/>
    <w:rsid w:val="00957263"/>
    <w:rsid w:val="009610DC"/>
    <w:rsid w:val="00961490"/>
    <w:rsid w:val="0096381A"/>
    <w:rsid w:val="00965E04"/>
    <w:rsid w:val="009674AD"/>
    <w:rsid w:val="00970CDC"/>
    <w:rsid w:val="00977010"/>
    <w:rsid w:val="00977D02"/>
    <w:rsid w:val="009809BB"/>
    <w:rsid w:val="0098364B"/>
    <w:rsid w:val="0098377D"/>
    <w:rsid w:val="009911AF"/>
    <w:rsid w:val="00991875"/>
    <w:rsid w:val="00991F92"/>
    <w:rsid w:val="00992985"/>
    <w:rsid w:val="00993889"/>
    <w:rsid w:val="0099551B"/>
    <w:rsid w:val="00997BF1"/>
    <w:rsid w:val="009A089C"/>
    <w:rsid w:val="009A09BD"/>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70F"/>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29C3"/>
    <w:rsid w:val="00A632CB"/>
    <w:rsid w:val="00A648CD"/>
    <w:rsid w:val="00A6537A"/>
    <w:rsid w:val="00A67866"/>
    <w:rsid w:val="00A67E15"/>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1C83"/>
    <w:rsid w:val="00B4346D"/>
    <w:rsid w:val="00B440F4"/>
    <w:rsid w:val="00B447A5"/>
    <w:rsid w:val="00B4654C"/>
    <w:rsid w:val="00B47293"/>
    <w:rsid w:val="00B4775B"/>
    <w:rsid w:val="00B50E50"/>
    <w:rsid w:val="00B52120"/>
    <w:rsid w:val="00B52CBE"/>
    <w:rsid w:val="00B54ABC"/>
    <w:rsid w:val="00B54DDE"/>
    <w:rsid w:val="00B56FBE"/>
    <w:rsid w:val="00B60ACF"/>
    <w:rsid w:val="00B62B58"/>
    <w:rsid w:val="00B65149"/>
    <w:rsid w:val="00B66567"/>
    <w:rsid w:val="00B66F52"/>
    <w:rsid w:val="00B66FE5"/>
    <w:rsid w:val="00B67A08"/>
    <w:rsid w:val="00B72833"/>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3400"/>
    <w:rsid w:val="00BF51E5"/>
    <w:rsid w:val="00BF74A6"/>
    <w:rsid w:val="00C013AD"/>
    <w:rsid w:val="00C040E4"/>
    <w:rsid w:val="00C04904"/>
    <w:rsid w:val="00C056B3"/>
    <w:rsid w:val="00C103E5"/>
    <w:rsid w:val="00C13319"/>
    <w:rsid w:val="00C13EE9"/>
    <w:rsid w:val="00C17157"/>
    <w:rsid w:val="00C21540"/>
    <w:rsid w:val="00C21906"/>
    <w:rsid w:val="00C21BFA"/>
    <w:rsid w:val="00C22148"/>
    <w:rsid w:val="00C24C8D"/>
    <w:rsid w:val="00C25FE2"/>
    <w:rsid w:val="00C26B53"/>
    <w:rsid w:val="00C279B2"/>
    <w:rsid w:val="00C33E50"/>
    <w:rsid w:val="00C34C20"/>
    <w:rsid w:val="00C35A3E"/>
    <w:rsid w:val="00C41A1B"/>
    <w:rsid w:val="00C42130"/>
    <w:rsid w:val="00C423A4"/>
    <w:rsid w:val="00C44BF5"/>
    <w:rsid w:val="00C45FF4"/>
    <w:rsid w:val="00C521D6"/>
    <w:rsid w:val="00C55232"/>
    <w:rsid w:val="00C553A4"/>
    <w:rsid w:val="00C55A06"/>
    <w:rsid w:val="00C55D03"/>
    <w:rsid w:val="00C601BC"/>
    <w:rsid w:val="00C6329F"/>
    <w:rsid w:val="00C63340"/>
    <w:rsid w:val="00C643F9"/>
    <w:rsid w:val="00C64E95"/>
    <w:rsid w:val="00C71372"/>
    <w:rsid w:val="00C72410"/>
    <w:rsid w:val="00C7287F"/>
    <w:rsid w:val="00C7322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6A5B"/>
    <w:rsid w:val="00CA6E53"/>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8BF"/>
    <w:rsid w:val="00CC6E4E"/>
    <w:rsid w:val="00CC6FE8"/>
    <w:rsid w:val="00CC7202"/>
    <w:rsid w:val="00CD2808"/>
    <w:rsid w:val="00CD28BF"/>
    <w:rsid w:val="00CD4092"/>
    <w:rsid w:val="00CD4A20"/>
    <w:rsid w:val="00CD50A1"/>
    <w:rsid w:val="00CD519E"/>
    <w:rsid w:val="00CD7C9A"/>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6865"/>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16E1"/>
    <w:rsid w:val="00DB38EE"/>
    <w:rsid w:val="00DB498B"/>
    <w:rsid w:val="00DB66CA"/>
    <w:rsid w:val="00DB6BCA"/>
    <w:rsid w:val="00DB73F7"/>
    <w:rsid w:val="00DC0321"/>
    <w:rsid w:val="00DC23ED"/>
    <w:rsid w:val="00DC3067"/>
    <w:rsid w:val="00DC370B"/>
    <w:rsid w:val="00DC5B90"/>
    <w:rsid w:val="00DC5C19"/>
    <w:rsid w:val="00DD00FF"/>
    <w:rsid w:val="00DD0619"/>
    <w:rsid w:val="00DD07FB"/>
    <w:rsid w:val="00DD2114"/>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27934"/>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64B"/>
    <w:rsid w:val="00EA681A"/>
    <w:rsid w:val="00EA735B"/>
    <w:rsid w:val="00EA77F0"/>
    <w:rsid w:val="00EB17DE"/>
    <w:rsid w:val="00EB1E69"/>
    <w:rsid w:val="00EB2086"/>
    <w:rsid w:val="00EB5EDF"/>
    <w:rsid w:val="00EB60FE"/>
    <w:rsid w:val="00EB74DB"/>
    <w:rsid w:val="00EC5359"/>
    <w:rsid w:val="00EC562A"/>
    <w:rsid w:val="00ED03BA"/>
    <w:rsid w:val="00ED067A"/>
    <w:rsid w:val="00ED2B50"/>
    <w:rsid w:val="00EE0350"/>
    <w:rsid w:val="00EE0719"/>
    <w:rsid w:val="00EE0E80"/>
    <w:rsid w:val="00EE54A6"/>
    <w:rsid w:val="00EE613F"/>
    <w:rsid w:val="00EE7295"/>
    <w:rsid w:val="00EE7869"/>
    <w:rsid w:val="00EF054A"/>
    <w:rsid w:val="00EF2D19"/>
    <w:rsid w:val="00EF3235"/>
    <w:rsid w:val="00EF7E72"/>
    <w:rsid w:val="00F02A97"/>
    <w:rsid w:val="00F04EED"/>
    <w:rsid w:val="00F06D37"/>
    <w:rsid w:val="00F07B9D"/>
    <w:rsid w:val="00F11586"/>
    <w:rsid w:val="00F1183B"/>
    <w:rsid w:val="00F11C9F"/>
    <w:rsid w:val="00F120D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6B3"/>
    <w:rsid w:val="00F6194E"/>
    <w:rsid w:val="00F623AC"/>
    <w:rsid w:val="00F6412A"/>
    <w:rsid w:val="00F65893"/>
    <w:rsid w:val="00F659BC"/>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BCD"/>
    <w:rsid w:val="00FA4DAC"/>
    <w:rsid w:val="00FA662D"/>
    <w:rsid w:val="00FA73B1"/>
    <w:rsid w:val="00FB0CB9"/>
    <w:rsid w:val="00FB231D"/>
    <w:rsid w:val="00FB309C"/>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6C262D"/>
    <w:rsid w:val="0E9E5754"/>
    <w:rsid w:val="40882E6C"/>
    <w:rsid w:val="4ACC7251"/>
    <w:rsid w:val="4B1B362F"/>
    <w:rsid w:val="506011F3"/>
    <w:rsid w:val="5AE45078"/>
    <w:rsid w:val="60A275EE"/>
    <w:rsid w:val="67140BF1"/>
    <w:rsid w:val="7F940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Document Map"/>
    <w:basedOn w:val="1"/>
    <w:link w:val="232"/>
    <w:semiHidden/>
    <w:unhideWhenUsed/>
    <w:qFormat/>
    <w:uiPriority w:val="99"/>
    <w:rPr>
      <w:rFonts w:ascii="宋体"/>
      <w:sz w:val="18"/>
      <w:szCs w:val="18"/>
    </w:rPr>
  </w:style>
  <w:style w:type="paragraph" w:styleId="14">
    <w:name w:val="Body Text"/>
    <w:basedOn w:val="1"/>
    <w:link w:val="88"/>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7"/>
    <w:semiHidden/>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50"/>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annotation reference"/>
    <w:basedOn w:val="29"/>
    <w:qFormat/>
    <w:uiPriority w:val="99"/>
    <w:rPr>
      <w:rFonts w:cs="Times New Roman"/>
      <w:sz w:val="21"/>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Char"/>
    <w:link w:val="2"/>
    <w:qFormat/>
    <w:uiPriority w:val="0"/>
    <w:rPr>
      <w:rFonts w:ascii="Times New Roman" w:hAnsi="Times New Roman" w:eastAsia="宋体" w:cs="Times New Roman"/>
      <w:b/>
      <w:bCs/>
      <w:kern w:val="44"/>
      <w:sz w:val="44"/>
      <w:szCs w:val="44"/>
    </w:rPr>
  </w:style>
  <w:style w:type="character" w:customStyle="1" w:styleId="37">
    <w:name w:val="标题 2 Char"/>
    <w:link w:val="3"/>
    <w:qFormat/>
    <w:uiPriority w:val="0"/>
    <w:rPr>
      <w:rFonts w:ascii="Arial" w:hAnsi="Arial" w:eastAsia="黑体" w:cs="Times New Roman"/>
      <w:b/>
      <w:bCs/>
      <w:sz w:val="32"/>
      <w:szCs w:val="32"/>
    </w:rPr>
  </w:style>
  <w:style w:type="character" w:customStyle="1" w:styleId="38">
    <w:name w:val="标题 3 Char"/>
    <w:link w:val="4"/>
    <w:qFormat/>
    <w:uiPriority w:val="0"/>
    <w:rPr>
      <w:rFonts w:ascii="Times New Roman" w:hAnsi="Times New Roman" w:eastAsia="宋体" w:cs="Times New Roman"/>
      <w:b/>
      <w:bCs/>
      <w:sz w:val="32"/>
      <w:szCs w:val="32"/>
    </w:rPr>
  </w:style>
  <w:style w:type="character" w:customStyle="1" w:styleId="39">
    <w:name w:val="标题 4 Char"/>
    <w:link w:val="5"/>
    <w:qFormat/>
    <w:uiPriority w:val="0"/>
    <w:rPr>
      <w:rFonts w:ascii="Arial" w:hAnsi="Arial" w:eastAsia="黑体" w:cs="Times New Roman"/>
      <w:b/>
      <w:bCs/>
      <w:sz w:val="28"/>
      <w:szCs w:val="28"/>
    </w:rPr>
  </w:style>
  <w:style w:type="character" w:customStyle="1" w:styleId="40">
    <w:name w:val="标题 5 Char"/>
    <w:link w:val="6"/>
    <w:qFormat/>
    <w:uiPriority w:val="0"/>
    <w:rPr>
      <w:rFonts w:ascii="Times New Roman" w:hAnsi="Times New Roman" w:eastAsia="宋体" w:cs="Times New Roman"/>
      <w:b/>
      <w:bCs/>
      <w:sz w:val="28"/>
      <w:szCs w:val="28"/>
    </w:rPr>
  </w:style>
  <w:style w:type="character" w:customStyle="1" w:styleId="41">
    <w:name w:val="标题 6 Char"/>
    <w:link w:val="7"/>
    <w:qFormat/>
    <w:uiPriority w:val="0"/>
    <w:rPr>
      <w:rFonts w:ascii="Arial" w:hAnsi="Arial" w:eastAsia="黑体" w:cs="Times New Roman"/>
      <w:b/>
      <w:bCs/>
      <w:sz w:val="24"/>
      <w:szCs w:val="24"/>
    </w:rPr>
  </w:style>
  <w:style w:type="character" w:customStyle="1" w:styleId="42">
    <w:name w:val="标题 7 Char"/>
    <w:link w:val="8"/>
    <w:qFormat/>
    <w:uiPriority w:val="0"/>
    <w:rPr>
      <w:rFonts w:ascii="Times New Roman" w:hAnsi="Times New Roman" w:eastAsia="宋体" w:cs="Times New Roman"/>
      <w:b/>
      <w:bCs/>
      <w:sz w:val="24"/>
      <w:szCs w:val="24"/>
    </w:rPr>
  </w:style>
  <w:style w:type="character" w:customStyle="1" w:styleId="43">
    <w:name w:val="标题 8 Char"/>
    <w:link w:val="9"/>
    <w:qFormat/>
    <w:uiPriority w:val="0"/>
    <w:rPr>
      <w:rFonts w:ascii="Arial" w:hAnsi="Arial" w:eastAsia="黑体" w:cs="Times New Roman"/>
      <w:sz w:val="24"/>
      <w:szCs w:val="24"/>
    </w:rPr>
  </w:style>
  <w:style w:type="character" w:customStyle="1" w:styleId="44">
    <w:name w:val="标题 9 Char"/>
    <w:link w:val="10"/>
    <w:qFormat/>
    <w:uiPriority w:val="0"/>
    <w:rPr>
      <w:rFonts w:ascii="Arial" w:hAnsi="Arial" w:eastAsia="黑体" w:cs="Times New Roman"/>
      <w:szCs w:val="21"/>
    </w:rPr>
  </w:style>
  <w:style w:type="character" w:customStyle="1" w:styleId="45">
    <w:name w:val="页眉 Char"/>
    <w:link w:val="19"/>
    <w:qFormat/>
    <w:uiPriority w:val="99"/>
    <w:rPr>
      <w:rFonts w:ascii="Times New Roman" w:hAnsi="Times New Roman" w:eastAsia="宋体" w:cs="Times New Roman"/>
      <w:sz w:val="18"/>
      <w:szCs w:val="18"/>
    </w:rPr>
  </w:style>
  <w:style w:type="character" w:customStyle="1" w:styleId="46">
    <w:name w:val="页脚 Char"/>
    <w:link w:val="18"/>
    <w:qFormat/>
    <w:uiPriority w:val="99"/>
    <w:rPr>
      <w:rFonts w:ascii="宋体" w:hAnsi="Times New Roman" w:eastAsia="宋体" w:cs="Times New Roman"/>
      <w:sz w:val="18"/>
      <w:szCs w:val="18"/>
    </w:rPr>
  </w:style>
  <w:style w:type="character" w:customStyle="1" w:styleId="47">
    <w:name w:val="批注框文本 Char"/>
    <w:link w:val="17"/>
    <w:semiHidden/>
    <w:qFormat/>
    <w:uiPriority w:val="99"/>
    <w:rPr>
      <w:sz w:val="18"/>
      <w:szCs w:val="18"/>
    </w:rPr>
  </w:style>
  <w:style w:type="paragraph" w:styleId="48">
    <w:name w:val="Quote"/>
    <w:basedOn w:val="1"/>
    <w:next w:val="1"/>
    <w:link w:val="49"/>
    <w:qFormat/>
    <w:uiPriority w:val="29"/>
    <w:rPr>
      <w:i/>
      <w:iCs/>
      <w:color w:val="000000"/>
    </w:rPr>
  </w:style>
  <w:style w:type="character" w:customStyle="1" w:styleId="49">
    <w:name w:val="引用 Char"/>
    <w:link w:val="48"/>
    <w:qFormat/>
    <w:uiPriority w:val="29"/>
    <w:rPr>
      <w:i/>
      <w:iCs/>
      <w:color w:val="000000"/>
    </w:rPr>
  </w:style>
  <w:style w:type="character" w:customStyle="1" w:styleId="50">
    <w:name w:val="标题 Char"/>
    <w:link w:val="26"/>
    <w:qFormat/>
    <w:uiPriority w:val="0"/>
    <w:rPr>
      <w:rFonts w:ascii="Arial" w:hAnsi="Arial" w:eastAsia="宋体" w:cs="Arial"/>
      <w:b/>
      <w:bCs/>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Char"/>
    <w:link w:val="14"/>
    <w:qFormat/>
    <w:uiPriority w:val="0"/>
    <w:rPr>
      <w:rFonts w:ascii="Times New Roman" w:hAnsi="Times New Roman" w:eastAsia="宋体" w:cs="Times New Roman"/>
      <w:szCs w:val="20"/>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pPr>
  </w:style>
  <w:style w:type="paragraph" w:customStyle="1" w:styleId="93">
    <w:name w:val="标准文件_目录标题"/>
    <w:basedOn w:val="1"/>
    <w:qFormat/>
    <w:uiPriority w:val="0"/>
    <w:pPr>
      <w:spacing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ind w:left="0" w:firstLine="200"/>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Subtle Reference"/>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1">
    <w:name w:val="脚注文本 Char"/>
    <w:link w:val="22"/>
    <w:semiHidden/>
    <w:qFormat/>
    <w:uiPriority w:val="0"/>
    <w:rPr>
      <w:rFonts w:ascii="宋体" w:hAnsi="Times New Roman" w:eastAsia="宋体" w:cs="Times New Roman"/>
      <w:sz w:val="18"/>
      <w:szCs w:val="18"/>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Lines="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link w:val="242"/>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semiHidden/>
    <w:qFormat/>
    <w:uiPriority w:val="0"/>
    <w:pPr>
      <w:adjustRightInd/>
      <w:spacing w:line="240" w:lineRule="auto"/>
      <w:jc w:val="left"/>
    </w:pPr>
    <w:rPr>
      <w:bCs/>
      <w:iCs/>
    </w:rPr>
  </w:style>
  <w:style w:type="paragraph" w:customStyle="1" w:styleId="145">
    <w:name w:val="目录 31"/>
    <w:basedOn w:val="1"/>
    <w:next w:val="1"/>
    <w:semiHidden/>
    <w:qFormat/>
    <w:uiPriority w:val="0"/>
    <w:pPr>
      <w:spacing w:line="240" w:lineRule="auto"/>
    </w:pPr>
    <w:rPr>
      <w:rFonts w:ascii="宋体" w:hAnsi="宋体"/>
      <w:iCs/>
    </w:rPr>
  </w:style>
  <w:style w:type="paragraph" w:customStyle="1" w:styleId="146">
    <w:name w:val="目录 41"/>
    <w:basedOn w:val="1"/>
    <w:next w:val="1"/>
    <w:semiHidden/>
    <w:qFormat/>
    <w:uiPriority w:val="0"/>
    <w:pPr>
      <w:adjustRightInd/>
      <w:spacing w:line="240" w:lineRule="auto"/>
      <w:jc w:val="left"/>
    </w:pPr>
  </w:style>
  <w:style w:type="paragraph" w:customStyle="1" w:styleId="147">
    <w:name w:val="目录 51"/>
    <w:basedOn w:val="1"/>
    <w:next w:val="1"/>
    <w:semiHidden/>
    <w:qFormat/>
    <w:uiPriority w:val="0"/>
    <w:pPr>
      <w:spacing w:line="240" w:lineRule="auto"/>
    </w:pPr>
    <w:rPr>
      <w:rFonts w:ascii="宋体" w:hAnsi="宋体"/>
    </w:rPr>
  </w:style>
  <w:style w:type="paragraph" w:customStyle="1" w:styleId="148">
    <w:name w:val="目录 61"/>
    <w:basedOn w:val="1"/>
    <w:next w:val="1"/>
    <w:semiHidden/>
    <w:qFormat/>
    <w:uiPriority w:val="0"/>
    <w:pPr>
      <w:adjustRightInd/>
      <w:spacing w:line="240" w:lineRule="auto"/>
      <w:jc w:val="left"/>
    </w:pPr>
  </w:style>
  <w:style w:type="paragraph" w:customStyle="1" w:styleId="149">
    <w:name w:val="目录 71"/>
    <w:basedOn w:val="148"/>
    <w:semiHidden/>
    <w:qFormat/>
    <w:uiPriority w:val="0"/>
    <w:pPr>
      <w:ind w:left="1260"/>
    </w:pPr>
  </w:style>
  <w:style w:type="paragraph" w:customStyle="1" w:styleId="150">
    <w:name w:val="目录 81"/>
    <w:basedOn w:val="149"/>
    <w:semiHidden/>
    <w:qFormat/>
    <w:uiPriority w:val="0"/>
    <w:pPr>
      <w:ind w:left="1470"/>
    </w:pPr>
  </w:style>
  <w:style w:type="paragraph" w:customStyle="1" w:styleId="151">
    <w:name w:val="目录 91"/>
    <w:basedOn w:val="150"/>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Lines="0" w:afterLines="0"/>
      <w:outlineLvl w:val="9"/>
    </w:pPr>
    <w:rPr>
      <w:rFonts w:ascii="宋体" w:eastAsia="宋体"/>
    </w:rPr>
  </w:style>
  <w:style w:type="paragraph" w:customStyle="1" w:styleId="165">
    <w:name w:val="标准文件_五级无标题"/>
    <w:basedOn w:val="105"/>
    <w:qFormat/>
    <w:uiPriority w:val="0"/>
    <w:pPr>
      <w:spacing w:beforeLines="0" w:afterLines="0"/>
      <w:outlineLvl w:val="9"/>
    </w:pPr>
    <w:rPr>
      <w:rFonts w:ascii="宋体" w:eastAsia="宋体"/>
    </w:rPr>
  </w:style>
  <w:style w:type="paragraph" w:customStyle="1" w:styleId="166">
    <w:name w:val="标准文件_三级无标题"/>
    <w:basedOn w:val="96"/>
    <w:qFormat/>
    <w:uiPriority w:val="0"/>
    <w:pPr>
      <w:spacing w:beforeLines="0" w:afterLines="0"/>
      <w:outlineLvl w:val="9"/>
    </w:pPr>
    <w:rPr>
      <w:rFonts w:ascii="宋体" w:eastAsia="宋体"/>
    </w:rPr>
  </w:style>
  <w:style w:type="paragraph" w:customStyle="1" w:styleId="167">
    <w:name w:val="标准文件_二级无标题"/>
    <w:basedOn w:val="67"/>
    <w:qFormat/>
    <w:uiPriority w:val="0"/>
    <w:pPr>
      <w:spacing w:beforeLines="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Lines="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ind w:left="783"/>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29"/>
    <w:semiHidden/>
    <w:qFormat/>
    <w:uiPriority w:val="99"/>
    <w:rPr>
      <w:color w:val="808080"/>
    </w:rPr>
  </w:style>
  <w:style w:type="paragraph" w:customStyle="1" w:styleId="189">
    <w:name w:val="标准文件_二级项2"/>
    <w:basedOn w:val="58"/>
    <w:qFormat/>
    <w:uiPriority w:val="0"/>
    <w:pPr>
      <w:numPr>
        <w:ilvl w:val="1"/>
        <w:numId w:val="21"/>
      </w:numPr>
      <w:ind w:left="1271" w:hanging="420" w:firstLineChars="0"/>
    </w:pPr>
  </w:style>
  <w:style w:type="paragraph" w:customStyle="1" w:styleId="190">
    <w:name w:val="标准文件_三级项2"/>
    <w:basedOn w:val="58"/>
    <w:qFormat/>
    <w:uiPriority w:val="0"/>
    <w:pPr>
      <w:numPr>
        <w:ilvl w:val="0"/>
        <w:numId w:val="30"/>
      </w:numPr>
      <w:spacing w:line="300" w:lineRule="exact"/>
      <w:ind w:left="1276" w:hanging="425" w:firstLineChars="0"/>
    </w:pPr>
    <w:rPr>
      <w:rFonts w:ascii="Times New Roman"/>
    </w:rPr>
  </w:style>
  <w:style w:type="paragraph" w:customStyle="1" w:styleId="191">
    <w:name w:val="标准文件_一级项2"/>
    <w:basedOn w:val="58"/>
    <w:qFormat/>
    <w:uiPriority w:val="0"/>
    <w:pPr>
      <w:numPr>
        <w:ilvl w:val="0"/>
        <w:numId w:val="31"/>
      </w:numPr>
      <w:spacing w:line="300" w:lineRule="exact"/>
      <w:ind w:left="1271" w:hanging="420"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29"/>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spacing w:before="57"/>
    </w:pPr>
    <w:rPr>
      <w:sz w:val="21"/>
    </w:rPr>
  </w:style>
  <w:style w:type="paragraph" w:customStyle="1" w:styleId="199">
    <w:name w:val="标准文件_文件名称"/>
    <w:basedOn w:val="58"/>
    <w:next w:val="58"/>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Lines="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Lines="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Lines="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Lines="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Lines="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Lines="0" w:afterLines="0" w:line="276" w:lineRule="auto"/>
      <w:outlineLvl w:val="9"/>
    </w:pPr>
    <w:rPr>
      <w:rFonts w:ascii="宋体" w:eastAsia="宋体"/>
    </w:rPr>
  </w:style>
  <w:style w:type="paragraph" w:customStyle="1" w:styleId="214">
    <w:name w:val="标准文件_附录二级无标题"/>
    <w:basedOn w:val="81"/>
    <w:qFormat/>
    <w:uiPriority w:val="0"/>
    <w:pPr>
      <w:spacing w:beforeLines="0" w:afterLines="0" w:line="276" w:lineRule="auto"/>
      <w:outlineLvl w:val="9"/>
    </w:pPr>
    <w:rPr>
      <w:rFonts w:ascii="宋体" w:eastAsia="宋体"/>
    </w:rPr>
  </w:style>
  <w:style w:type="paragraph" w:customStyle="1" w:styleId="215">
    <w:name w:val="标准文件_附录三级无标题"/>
    <w:basedOn w:val="83"/>
    <w:qFormat/>
    <w:uiPriority w:val="0"/>
    <w:pPr>
      <w:spacing w:beforeLines="0" w:afterLines="0" w:line="276" w:lineRule="auto"/>
      <w:outlineLvl w:val="9"/>
    </w:pPr>
    <w:rPr>
      <w:rFonts w:ascii="宋体" w:eastAsia="宋体"/>
    </w:rPr>
  </w:style>
  <w:style w:type="paragraph" w:customStyle="1" w:styleId="216">
    <w:name w:val="标准文件_附录四级无标题"/>
    <w:basedOn w:val="84"/>
    <w:qFormat/>
    <w:uiPriority w:val="0"/>
    <w:pPr>
      <w:spacing w:beforeLines="0" w:afterLines="0" w:line="276" w:lineRule="auto"/>
      <w:outlineLvl w:val="9"/>
    </w:pPr>
    <w:rPr>
      <w:rFonts w:ascii="宋体" w:eastAsia="宋体"/>
    </w:rPr>
  </w:style>
  <w:style w:type="paragraph" w:customStyle="1" w:styleId="217">
    <w:name w:val="标准文件_附录五级无标题"/>
    <w:basedOn w:val="86"/>
    <w:qFormat/>
    <w:uiPriority w:val="0"/>
    <w:pPr>
      <w:spacing w:beforeLines="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Lines="0" w:afterLines="0" w:line="276" w:lineRule="auto"/>
    </w:pPr>
    <w:rPr>
      <w:rFonts w:ascii="宋体" w:eastAsia="宋体"/>
    </w:rPr>
  </w:style>
  <w:style w:type="paragraph" w:customStyle="1" w:styleId="219">
    <w:name w:val="标准文件_引言二级无标题"/>
    <w:basedOn w:val="203"/>
    <w:next w:val="58"/>
    <w:qFormat/>
    <w:uiPriority w:val="0"/>
    <w:pPr>
      <w:spacing w:beforeLines="0" w:afterLines="0" w:line="276" w:lineRule="auto"/>
    </w:pPr>
    <w:rPr>
      <w:rFonts w:ascii="宋体" w:eastAsia="宋体"/>
    </w:rPr>
  </w:style>
  <w:style w:type="paragraph" w:customStyle="1" w:styleId="220">
    <w:name w:val="标准文件_引言三级无标题"/>
    <w:basedOn w:val="204"/>
    <w:next w:val="58"/>
    <w:qFormat/>
    <w:uiPriority w:val="0"/>
    <w:pPr>
      <w:spacing w:beforeLines="0" w:afterLines="0" w:line="276" w:lineRule="auto"/>
    </w:pPr>
    <w:rPr>
      <w:rFonts w:ascii="宋体" w:eastAsia="宋体"/>
    </w:rPr>
  </w:style>
  <w:style w:type="paragraph" w:customStyle="1" w:styleId="221">
    <w:name w:val="标准文件_引言四级无标题"/>
    <w:basedOn w:val="205"/>
    <w:next w:val="58"/>
    <w:qFormat/>
    <w:uiPriority w:val="0"/>
    <w:pPr>
      <w:spacing w:beforeLines="0" w:afterLines="0" w:line="276" w:lineRule="auto"/>
    </w:pPr>
    <w:rPr>
      <w:rFonts w:ascii="宋体" w:eastAsia="宋体"/>
    </w:rPr>
  </w:style>
  <w:style w:type="paragraph" w:customStyle="1" w:styleId="222">
    <w:name w:val="标准文件_引言五级无标题"/>
    <w:basedOn w:val="206"/>
    <w:next w:val="58"/>
    <w:qFormat/>
    <w:uiPriority w:val="0"/>
    <w:pPr>
      <w:spacing w:beforeLines="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29"/>
    <w:qFormat/>
    <w:uiPriority w:val="0"/>
    <w:rPr>
      <w:rFonts w:ascii="黑体" w:eastAsia="黑体"/>
      <w:spacing w:val="85"/>
      <w:w w:val="100"/>
      <w:position w:val="3"/>
      <w:sz w:val="28"/>
      <w:szCs w:val="28"/>
    </w:rPr>
  </w:style>
  <w:style w:type="character" w:customStyle="1" w:styleId="232">
    <w:name w:val="文档结构图 Char"/>
    <w:basedOn w:val="29"/>
    <w:link w:val="13"/>
    <w:semiHidden/>
    <w:qFormat/>
    <w:uiPriority w:val="99"/>
    <w:rPr>
      <w:rFonts w:ascii="宋体"/>
      <w:kern w:val="2"/>
      <w:sz w:val="18"/>
      <w:szCs w:val="18"/>
    </w:rPr>
  </w:style>
  <w:style w:type="paragraph" w:customStyle="1" w:styleId="233">
    <w:name w:val="段"/>
    <w:link w:val="23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4">
    <w:name w:val="段 Char"/>
    <w:link w:val="233"/>
    <w:qFormat/>
    <w:locked/>
    <w:uiPriority w:val="0"/>
    <w:rPr>
      <w:rFonts w:ascii="宋体" w:hAnsi="Times New Roman"/>
      <w:sz w:val="21"/>
    </w:rPr>
  </w:style>
  <w:style w:type="paragraph" w:customStyle="1" w:styleId="235">
    <w:name w:val="数字编号列项（二级）"/>
    <w:qFormat/>
    <w:uiPriority w:val="99"/>
    <w:pPr>
      <w:tabs>
        <w:tab w:val="left" w:pos="1259"/>
      </w:tabs>
      <w:ind w:left="1259" w:hanging="420"/>
      <w:jc w:val="both"/>
    </w:pPr>
    <w:rPr>
      <w:rFonts w:ascii="宋体" w:hAnsi="Times New Roman" w:eastAsia="宋体" w:cs="Times New Roman"/>
      <w:sz w:val="21"/>
      <w:lang w:val="en-US" w:eastAsia="zh-CN" w:bidi="ar-SA"/>
    </w:rPr>
  </w:style>
  <w:style w:type="paragraph" w:customStyle="1" w:styleId="236">
    <w:name w:val="字母编号列项（一级）"/>
    <w:qFormat/>
    <w:uiPriority w:val="99"/>
    <w:pPr>
      <w:tabs>
        <w:tab w:val="left" w:pos="839"/>
      </w:tabs>
      <w:ind w:left="839" w:hanging="419"/>
      <w:jc w:val="both"/>
    </w:pPr>
    <w:rPr>
      <w:rFonts w:ascii="宋体" w:hAnsi="Times New Roman" w:eastAsia="宋体" w:cs="Times New Roman"/>
      <w:sz w:val="21"/>
      <w:lang w:val="en-US" w:eastAsia="zh-CN" w:bidi="ar-SA"/>
    </w:rPr>
  </w:style>
  <w:style w:type="paragraph" w:customStyle="1" w:styleId="237">
    <w:name w:val="编号列项（三级）"/>
    <w:qFormat/>
    <w:uiPriority w:val="99"/>
    <w:pPr>
      <w:tabs>
        <w:tab w:val="left" w:pos="0"/>
      </w:tabs>
      <w:ind w:left="1678" w:hanging="419"/>
    </w:pPr>
    <w:rPr>
      <w:rFonts w:ascii="宋体" w:hAnsi="Times New Roman" w:eastAsia="宋体" w:cs="Times New Roman"/>
      <w:sz w:val="21"/>
      <w:lang w:val="en-US" w:eastAsia="zh-CN" w:bidi="ar-SA"/>
    </w:rPr>
  </w:style>
  <w:style w:type="character" w:customStyle="1" w:styleId="238">
    <w:name w:val="font81"/>
    <w:qFormat/>
    <w:uiPriority w:val="0"/>
    <w:rPr>
      <w:rFonts w:hint="eastAsia" w:ascii="宋体" w:hAnsi="宋体" w:eastAsia="宋体" w:cs="宋体"/>
      <w:color w:val="000000"/>
      <w:sz w:val="22"/>
      <w:szCs w:val="22"/>
      <w:u w:val="none"/>
    </w:rPr>
  </w:style>
  <w:style w:type="character" w:customStyle="1" w:styleId="239">
    <w:name w:val="font71"/>
    <w:qFormat/>
    <w:uiPriority w:val="0"/>
    <w:rPr>
      <w:rFonts w:hint="eastAsia" w:ascii="宋体" w:hAnsi="宋体" w:eastAsia="宋体" w:cs="宋体"/>
      <w:color w:val="000000"/>
      <w:sz w:val="22"/>
      <w:szCs w:val="22"/>
      <w:u w:val="none"/>
    </w:rPr>
  </w:style>
  <w:style w:type="table" w:customStyle="1" w:styleId="240">
    <w:name w:val="Table Normal15"/>
    <w:semiHidden/>
    <w:unhideWhenUsed/>
    <w:qFormat/>
    <w:uiPriority w:val="2"/>
    <w:pPr>
      <w:widowControl w:val="0"/>
      <w:autoSpaceDE w:val="0"/>
      <w:autoSpaceDN w:val="0"/>
    </w:pPr>
    <w:rPr>
      <w:sz w:val="22"/>
      <w:lang w:eastAsia="en-US"/>
    </w:rPr>
    <w:tblPr>
      <w:tblCellMar>
        <w:top w:w="0" w:type="dxa"/>
        <w:left w:w="0" w:type="dxa"/>
        <w:bottom w:w="0" w:type="dxa"/>
        <w:right w:w="0" w:type="dxa"/>
      </w:tblCellMar>
    </w:tblPr>
  </w:style>
  <w:style w:type="table" w:customStyle="1" w:styleId="241">
    <w:name w:val="Table Normal1"/>
    <w:semiHidden/>
    <w:unhideWhenUsed/>
    <w:qFormat/>
    <w:uiPriority w:val="2"/>
    <w:pPr>
      <w:widowControl w:val="0"/>
      <w:autoSpaceDE w:val="0"/>
      <w:autoSpaceDN w:val="0"/>
    </w:pPr>
    <w:rPr>
      <w:sz w:val="22"/>
      <w:szCs w:val="22"/>
      <w:lang w:eastAsia="en-US"/>
    </w:rPr>
    <w:tblPr>
      <w:tblCellMar>
        <w:top w:w="0" w:type="dxa"/>
        <w:left w:w="0" w:type="dxa"/>
        <w:bottom w:w="0" w:type="dxa"/>
        <w:right w:w="0" w:type="dxa"/>
      </w:tblCellMar>
    </w:tblPr>
  </w:style>
  <w:style w:type="character" w:customStyle="1" w:styleId="242">
    <w:name w:val="附录二级无标题条 Char"/>
    <w:link w:val="130"/>
    <w:qFormat/>
    <w:uiPriority w:val="0"/>
    <w:rPr>
      <w:rFonts w:ascii="宋体" w:hAnsi="宋体"/>
      <w:kern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tiff"/><Relationship Id="rId17" Type="http://schemas.openxmlformats.org/officeDocument/2006/relationships/theme" Target="theme/theme1.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B9AC1DAF4D94C6BB6F8661462FD8D92"/>
        <w:style w:val=""/>
        <w:category>
          <w:name w:val="常规"/>
          <w:gallery w:val="placeholder"/>
        </w:category>
        <w:types>
          <w:type w:val="bbPlcHdr"/>
        </w:types>
        <w:behaviors>
          <w:behavior w:val="content"/>
        </w:behaviors>
        <w:description w:val=""/>
        <w:guid w:val="{844E74E8-7FF2-4998-A554-7F6AD7D13ECE}"/>
      </w:docPartPr>
      <w:docPartBody>
        <w:p>
          <w:pPr>
            <w:pStyle w:val="5"/>
          </w:pPr>
          <w:r>
            <w:rPr>
              <w:rStyle w:val="4"/>
              <w:rFonts w:hint="eastAsia"/>
            </w:rPr>
            <w:t>单击或点击此处输入文字。</w:t>
          </w:r>
        </w:p>
      </w:docPartBody>
    </w:docPart>
    <w:docPart>
      <w:docPartPr>
        <w:name w:val="B61532C5FF6E4BFBA109D27D2165E622"/>
        <w:style w:val=""/>
        <w:category>
          <w:name w:val="常规"/>
          <w:gallery w:val="placeholder"/>
        </w:category>
        <w:types>
          <w:type w:val="bbPlcHdr"/>
        </w:types>
        <w:behaviors>
          <w:behavior w:val="content"/>
        </w:behaviors>
        <w:description w:val=""/>
        <w:guid w:val="{BAE927CE-8238-46B4-A7A5-287E33D469AA}"/>
      </w:docPartPr>
      <w:docPartBody>
        <w:p>
          <w:pPr>
            <w:pStyle w:val="6"/>
          </w:pPr>
          <w:r>
            <w:rPr>
              <w:rStyle w:val="4"/>
              <w:rFonts w:hint="eastAsia"/>
            </w:rPr>
            <w:t>选择一项。</w:t>
          </w:r>
        </w:p>
      </w:docPartBody>
    </w:docPart>
    <w:docPart>
      <w:docPartPr>
        <w:name w:val="CCC8D6C67D014AA0ADC4A6423145A28D"/>
        <w:style w:val=""/>
        <w:category>
          <w:name w:val="常规"/>
          <w:gallery w:val="placeholder"/>
        </w:category>
        <w:types>
          <w:type w:val="bbPlcHdr"/>
        </w:types>
        <w:behaviors>
          <w:behavior w:val="content"/>
        </w:behaviors>
        <w:description w:val=""/>
        <w:guid w:val="{446E6100-1F5A-4C30-9EC1-70D381F1263A}"/>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F630C9"/>
    <w:rsid w:val="0039284D"/>
    <w:rsid w:val="007A36B5"/>
    <w:rsid w:val="008D1D9F"/>
    <w:rsid w:val="009A4CFE"/>
    <w:rsid w:val="009E6D14"/>
    <w:rsid w:val="00B31329"/>
    <w:rsid w:val="00F41A14"/>
    <w:rsid w:val="00F630C9"/>
    <w:rsid w:val="00FA57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B9AC1DAF4D94C6BB6F8661462FD8D9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B61532C5FF6E4BFBA109D27D2165E62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CCC8D6C67D014AA0ADC4A6423145A28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62D9E1DA5C7F456AB4F98DFF945F359F"/>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18</Pages>
  <Words>7988</Words>
  <Characters>8903</Characters>
  <Lines>181</Lines>
  <Paragraphs>51</Paragraphs>
  <TotalTime>1</TotalTime>
  <ScaleCrop>false</ScaleCrop>
  <LinksUpToDate>false</LinksUpToDate>
  <CharactersWithSpaces>9249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2021-05-06T00:17:00Z</dcterms:created>
  <dc:creator>胥文婷</dc:creator>
  <dc:description>&lt;config cover="true" show_menu="true" version="1.0.0" doctype="SDKXY"&gt;_x000d_
&lt;/config&gt;</dc:description>
  <cp:lastModifiedBy>吴晓春</cp:lastModifiedBy>
  <cp:lastPrinted>2024-11-05T02:43:00Z</cp:lastPrinted>
  <dcterms:modified xsi:type="dcterms:W3CDTF">2025-06-17T01:44:12Z</dcterms:modified>
  <dc:title>地方标准</dc:title>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false</vt:lpwstr>
  </property>
  <property fmtid="{D5CDD505-2E9C-101B-9397-08002B2CF9AE}" pid="15" name="KSOProductBuildVer">
    <vt:lpwstr>2052-11.8.2.10393</vt:lpwstr>
  </property>
  <property fmtid="{D5CDD505-2E9C-101B-9397-08002B2CF9AE}" pid="16" name="ICV">
    <vt:lpwstr>001D970983734C02BE2FF34F8CA2DE6B_13</vt:lpwstr>
  </property>
  <property fmtid="{D5CDD505-2E9C-101B-9397-08002B2CF9AE}" pid="17" name="KSOTemplateDocerSaveRecord">
    <vt:lpwstr>eyJoZGlkIjoiZjkxYWZiOTU3Y2M5YjEzY2JiZDVlNDkxNzc0MjhhMmUiLCJ1c2VySWQiOiI0ODMyODM5MjIifQ==</vt:lpwstr>
  </property>
</Properties>
</file>